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77" w:rsidRDefault="00515CEE" w:rsidP="00C60815">
      <w:pPr>
        <w:pStyle w:val="2"/>
        <w:bidi w:val="0"/>
        <w:jc w:val="right"/>
        <w:rPr>
          <w:b w:val="0"/>
          <w:bCs w:val="0"/>
          <w:sz w:val="30"/>
          <w:szCs w:val="30"/>
          <w:rtl/>
          <w:lang w:eastAsia="en-US"/>
        </w:rPr>
      </w:pPr>
      <w:bookmarkStart w:id="0" w:name="_Toc503151785"/>
      <w:bookmarkStart w:id="1" w:name="_Toc45194113"/>
      <w:r w:rsidRPr="00DD1962">
        <w:rPr>
          <w:rFonts w:hint="cs"/>
          <w:rtl/>
        </w:rPr>
        <w:t xml:space="preserve">יישום </w:t>
      </w:r>
      <w:r w:rsidR="00C60815">
        <w:rPr>
          <w:rFonts w:hint="cs"/>
          <w:rtl/>
        </w:rPr>
        <w:t>הסכמים פוליטיים בעלי משמעות תקציבית לשנת הכספים 2020</w:t>
      </w:r>
      <w:bookmarkEnd w:id="0"/>
      <w:bookmarkEnd w:id="1"/>
    </w:p>
    <w:p w:rsidR="00C60815" w:rsidRPr="00C60815" w:rsidRDefault="00C60815" w:rsidP="00C60815">
      <w:pPr>
        <w:bidi w:val="0"/>
        <w:rPr>
          <w:rtl/>
          <w:lang w:eastAsia="en-US"/>
        </w:rPr>
      </w:pPr>
    </w:p>
    <w:p w:rsidR="00462FFB" w:rsidRPr="00DD1962" w:rsidRDefault="00515CEE" w:rsidP="006C2177">
      <w:pPr>
        <w:tabs>
          <w:tab w:val="right" w:leader="dot" w:pos="8303"/>
        </w:tabs>
        <w:bidi w:val="0"/>
        <w:jc w:val="right"/>
        <w:rPr>
          <w:b/>
          <w:bCs/>
          <w:sz w:val="30"/>
          <w:szCs w:val="30"/>
          <w:rtl/>
          <w:lang w:eastAsia="en-US"/>
        </w:rPr>
      </w:pPr>
      <w:r w:rsidRPr="00DD1962">
        <w:rPr>
          <w:rFonts w:hint="cs"/>
          <w:b/>
          <w:bCs/>
          <w:sz w:val="30"/>
          <w:szCs w:val="30"/>
          <w:rtl/>
          <w:lang w:eastAsia="en-US"/>
        </w:rPr>
        <w:t>מחליטים</w:t>
      </w:r>
    </w:p>
    <w:p w:rsidR="00462FFB" w:rsidRPr="00DD1962" w:rsidRDefault="00462FFB" w:rsidP="00462FFB">
      <w:pPr>
        <w:tabs>
          <w:tab w:val="right" w:leader="dot" w:pos="8303"/>
        </w:tabs>
        <w:bidi w:val="0"/>
        <w:jc w:val="right"/>
        <w:rPr>
          <w:sz w:val="26"/>
          <w:szCs w:val="24"/>
          <w:rtl/>
          <w:lang w:eastAsia="en-US"/>
        </w:rPr>
      </w:pPr>
    </w:p>
    <w:p w:rsidR="00462FFB" w:rsidRDefault="00515CEE" w:rsidP="006C2177">
      <w:pPr>
        <w:numPr>
          <w:ilvl w:val="0"/>
          <w:numId w:val="8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lang w:eastAsia="en-US"/>
        </w:rPr>
      </w:pPr>
      <w:r w:rsidRPr="00DD1962">
        <w:rPr>
          <w:rFonts w:hint="cs"/>
          <w:szCs w:val="24"/>
          <w:rtl/>
          <w:lang w:eastAsia="en-US"/>
        </w:rPr>
        <w:t xml:space="preserve">להקצות, באופן חד פעמי, </w:t>
      </w:r>
      <w:r w:rsidR="007D0EB2">
        <w:rPr>
          <w:rFonts w:hint="cs"/>
          <w:szCs w:val="24"/>
          <w:rtl/>
          <w:lang w:eastAsia="en-US"/>
        </w:rPr>
        <w:t xml:space="preserve">בתכנית הפעולה המפורטת כמשמעותה בסעיף 3ב(א1)(2)(א)(3) לחוק יסוד: משק המדינה (להלן </w:t>
      </w:r>
      <w:r w:rsidR="007D0EB2">
        <w:rPr>
          <w:szCs w:val="24"/>
          <w:rtl/>
          <w:lang w:eastAsia="en-US"/>
        </w:rPr>
        <w:t>–</w:t>
      </w:r>
      <w:r w:rsidR="007D0EB2">
        <w:rPr>
          <w:rFonts w:hint="cs"/>
          <w:szCs w:val="24"/>
          <w:rtl/>
          <w:lang w:eastAsia="en-US"/>
        </w:rPr>
        <w:t xml:space="preserve"> תכנית הפעולה)</w:t>
      </w:r>
      <w:r w:rsidR="00987841">
        <w:rPr>
          <w:rFonts w:hint="cs"/>
          <w:szCs w:val="24"/>
          <w:rtl/>
          <w:lang w:eastAsia="en-US"/>
        </w:rPr>
        <w:t>,</w:t>
      </w:r>
      <w:r w:rsidRPr="00DD1962">
        <w:rPr>
          <w:rFonts w:hint="cs"/>
          <w:szCs w:val="24"/>
          <w:rtl/>
          <w:lang w:eastAsia="en-US"/>
        </w:rPr>
        <w:t xml:space="preserve"> סכום שלא יעלה על </w:t>
      </w:r>
      <w:r w:rsidR="006C2177">
        <w:rPr>
          <w:rFonts w:hint="cs"/>
          <w:szCs w:val="24"/>
          <w:rtl/>
          <w:lang w:eastAsia="en-US"/>
        </w:rPr>
        <w:t>941</w:t>
      </w:r>
      <w:r w:rsidR="007A5644">
        <w:rPr>
          <w:rFonts w:hint="cs"/>
          <w:szCs w:val="24"/>
          <w:rtl/>
          <w:lang w:eastAsia="en-US"/>
        </w:rPr>
        <w:t>.7</w:t>
      </w:r>
      <w:r w:rsidR="00BA6B77">
        <w:rPr>
          <w:rFonts w:hint="cs"/>
          <w:szCs w:val="24"/>
          <w:rtl/>
          <w:lang w:eastAsia="en-US"/>
        </w:rPr>
        <w:t xml:space="preserve"> </w:t>
      </w:r>
      <w:r w:rsidRPr="00DD1962">
        <w:rPr>
          <w:rFonts w:hint="cs"/>
          <w:szCs w:val="24"/>
          <w:rtl/>
          <w:lang w:eastAsia="en-US"/>
        </w:rPr>
        <w:t>מיליוני ש"ח לצורך יישום הסכמים קואליציוניים</w:t>
      </w:r>
      <w:r>
        <w:rPr>
          <w:rFonts w:hint="cs"/>
          <w:szCs w:val="24"/>
          <w:rtl/>
          <w:lang w:eastAsia="en-US"/>
        </w:rPr>
        <w:t>.</w:t>
      </w:r>
    </w:p>
    <w:p w:rsidR="00462FFB" w:rsidRDefault="00515CEE" w:rsidP="004D732B">
      <w:pPr>
        <w:numPr>
          <w:ilvl w:val="0"/>
          <w:numId w:val="8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lang w:eastAsia="en-US"/>
        </w:rPr>
      </w:pPr>
      <w:r w:rsidRPr="00462FFB">
        <w:rPr>
          <w:szCs w:val="24"/>
          <w:rtl/>
          <w:lang w:eastAsia="en-US"/>
        </w:rPr>
        <w:t xml:space="preserve">התקציבים המפורטים בנספח א', יתוקצבו בנפרד </w:t>
      </w:r>
      <w:r w:rsidR="004D732B">
        <w:rPr>
          <w:rFonts w:hint="cs"/>
          <w:szCs w:val="24"/>
          <w:rtl/>
          <w:lang w:eastAsia="en-US"/>
        </w:rPr>
        <w:t xml:space="preserve">במסגרת תכנית הפעולה וזאת בתוכניות </w:t>
      </w:r>
      <w:r w:rsidR="009A7AFB">
        <w:rPr>
          <w:rFonts w:hint="cs"/>
          <w:szCs w:val="24"/>
          <w:rtl/>
          <w:lang w:eastAsia="en-US"/>
        </w:rPr>
        <w:t xml:space="preserve">הרזרבה של משרדי הממשלה השונים </w:t>
      </w:r>
      <w:r w:rsidRPr="00462FFB">
        <w:rPr>
          <w:szCs w:val="24"/>
          <w:rtl/>
          <w:lang w:eastAsia="en-US"/>
        </w:rPr>
        <w:t xml:space="preserve">אליהם הם מיועדים למעט במקרים שבהם התקבלה חוות דעת משפטית </w:t>
      </w:r>
      <w:r w:rsidR="00A52DA5">
        <w:rPr>
          <w:rFonts w:hint="cs"/>
          <w:szCs w:val="24"/>
          <w:rtl/>
          <w:lang w:eastAsia="en-US"/>
        </w:rPr>
        <w:t xml:space="preserve">ומקצועית </w:t>
      </w:r>
      <w:r w:rsidRPr="00462FFB">
        <w:rPr>
          <w:szCs w:val="24"/>
          <w:rtl/>
          <w:lang w:eastAsia="en-US"/>
        </w:rPr>
        <w:t xml:space="preserve">לפיה ניתן להעביר את התקציבים </w:t>
      </w:r>
      <w:r>
        <w:rPr>
          <w:rFonts w:hint="cs"/>
          <w:szCs w:val="24"/>
          <w:rtl/>
          <w:lang w:eastAsia="en-US"/>
        </w:rPr>
        <w:t>לתקנות</w:t>
      </w:r>
      <w:r w:rsidRPr="00462FFB">
        <w:rPr>
          <w:szCs w:val="24"/>
          <w:rtl/>
          <w:lang w:eastAsia="en-US"/>
        </w:rPr>
        <w:t xml:space="preserve"> </w:t>
      </w:r>
      <w:r w:rsidR="00D93E81">
        <w:rPr>
          <w:rFonts w:hint="cs"/>
          <w:szCs w:val="24"/>
          <w:rtl/>
          <w:lang w:eastAsia="en-US"/>
        </w:rPr>
        <w:t>מפורטות</w:t>
      </w:r>
      <w:r w:rsidR="00D93E81" w:rsidRPr="00D93E81">
        <w:rPr>
          <w:rFonts w:hint="cs"/>
          <w:szCs w:val="24"/>
          <w:rtl/>
          <w:lang w:eastAsia="en-US"/>
        </w:rPr>
        <w:t xml:space="preserve"> הנובעות מתכנית הפעולה (להלן </w:t>
      </w:r>
      <w:r w:rsidR="00D93E81" w:rsidRPr="00D93E81">
        <w:rPr>
          <w:szCs w:val="24"/>
          <w:rtl/>
          <w:lang w:eastAsia="en-US"/>
        </w:rPr>
        <w:t>–</w:t>
      </w:r>
      <w:r w:rsidR="00D93E81" w:rsidRPr="00D93E81">
        <w:rPr>
          <w:rFonts w:hint="cs"/>
          <w:szCs w:val="24"/>
          <w:rtl/>
          <w:lang w:eastAsia="en-US"/>
        </w:rPr>
        <w:t xml:space="preserve"> התקנות הייעודיות)</w:t>
      </w:r>
      <w:r w:rsidRPr="00D93E81">
        <w:rPr>
          <w:szCs w:val="24"/>
          <w:rtl/>
          <w:lang w:eastAsia="en-US"/>
        </w:rPr>
        <w:t xml:space="preserve">. העברת התקציבים </w:t>
      </w:r>
      <w:r>
        <w:rPr>
          <w:rFonts w:hint="cs"/>
          <w:szCs w:val="24"/>
          <w:rtl/>
          <w:lang w:eastAsia="en-US"/>
        </w:rPr>
        <w:t>לתקנות</w:t>
      </w:r>
      <w:r w:rsidRPr="00462FFB">
        <w:rPr>
          <w:szCs w:val="24"/>
          <w:rtl/>
          <w:lang w:eastAsia="en-US"/>
        </w:rPr>
        <w:t xml:space="preserve"> הייעודיות של אותם תקציבים,</w:t>
      </w:r>
      <w:r w:rsidR="008A1940">
        <w:rPr>
          <w:szCs w:val="24"/>
          <w:rtl/>
          <w:lang w:eastAsia="en-US"/>
        </w:rPr>
        <w:t xml:space="preserve"> תותנה בבדיקה מקצועית של המשרד</w:t>
      </w:r>
      <w:r w:rsidR="008A1940">
        <w:rPr>
          <w:rFonts w:hint="cs"/>
          <w:szCs w:val="24"/>
          <w:rtl/>
          <w:lang w:eastAsia="en-US"/>
        </w:rPr>
        <w:t xml:space="preserve"> ו</w:t>
      </w:r>
      <w:r w:rsidRPr="00462FFB">
        <w:rPr>
          <w:szCs w:val="24"/>
          <w:rtl/>
          <w:lang w:eastAsia="en-US"/>
        </w:rPr>
        <w:t>בחוות דעת משפטית של היועץ המשפטי של המשרד הרלוונטי</w:t>
      </w:r>
      <w:r>
        <w:rPr>
          <w:rFonts w:hint="cs"/>
          <w:szCs w:val="24"/>
          <w:rtl/>
          <w:lang w:eastAsia="en-US"/>
        </w:rPr>
        <w:t>.</w:t>
      </w:r>
      <w:r w:rsidRPr="00462FFB">
        <w:rPr>
          <w:szCs w:val="24"/>
          <w:rtl/>
          <w:lang w:eastAsia="en-US"/>
        </w:rPr>
        <w:t xml:space="preserve"> יובהר כי תקציבים אלה יתוקצבו בתקנות </w:t>
      </w:r>
      <w:r w:rsidR="00D93E81">
        <w:rPr>
          <w:rFonts w:hint="cs"/>
          <w:szCs w:val="24"/>
          <w:rtl/>
          <w:lang w:eastAsia="en-US"/>
        </w:rPr>
        <w:t>ייעודיות המקבילות לתקנות קיימות בחוק התקציב לשנת הכספים 2019</w:t>
      </w:r>
      <w:r w:rsidRPr="00462FFB">
        <w:rPr>
          <w:szCs w:val="24"/>
          <w:rtl/>
          <w:lang w:eastAsia="en-US"/>
        </w:rPr>
        <w:t xml:space="preserve"> בלבד וכי לא ייפתחו תקנות </w:t>
      </w:r>
      <w:r w:rsidR="00D93E81">
        <w:rPr>
          <w:rFonts w:hint="cs"/>
          <w:szCs w:val="24"/>
          <w:rtl/>
          <w:lang w:eastAsia="en-US"/>
        </w:rPr>
        <w:t>ייעודיות</w:t>
      </w:r>
      <w:r w:rsidR="00D93E81" w:rsidRPr="00462FFB">
        <w:rPr>
          <w:szCs w:val="24"/>
          <w:rtl/>
          <w:lang w:eastAsia="en-US"/>
        </w:rPr>
        <w:t xml:space="preserve"> </w:t>
      </w:r>
      <w:r w:rsidRPr="00462FFB">
        <w:rPr>
          <w:szCs w:val="24"/>
          <w:rtl/>
          <w:lang w:eastAsia="en-US"/>
        </w:rPr>
        <w:t>חדשות לשם תקצובם</w:t>
      </w:r>
      <w:r>
        <w:rPr>
          <w:rFonts w:hint="cs"/>
          <w:szCs w:val="24"/>
          <w:rtl/>
          <w:lang w:eastAsia="en-US"/>
        </w:rPr>
        <w:t xml:space="preserve"> ובכפוף לשני אלה:</w:t>
      </w:r>
      <w:r>
        <w:rPr>
          <w:rFonts w:ascii="Arial" w:eastAsia="Arial Unicode MS" w:hAnsi="Arial" w:hint="cs"/>
          <w:b/>
          <w:bCs/>
          <w:snapToGrid w:val="0"/>
          <w:color w:val="000000"/>
          <w:sz w:val="26"/>
          <w:rtl/>
          <w:lang w:eastAsia="ja-JP"/>
        </w:rPr>
        <w:t xml:space="preserve"> </w:t>
      </w:r>
    </w:p>
    <w:p w:rsidR="00462FFB" w:rsidRPr="00462FFB" w:rsidRDefault="00515CEE" w:rsidP="00987841">
      <w:pPr>
        <w:numPr>
          <w:ilvl w:val="1"/>
          <w:numId w:val="9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rtl/>
          <w:lang w:eastAsia="en-US"/>
        </w:rPr>
      </w:pPr>
      <w:r w:rsidRPr="00462FFB">
        <w:rPr>
          <w:szCs w:val="24"/>
          <w:rtl/>
          <w:lang w:eastAsia="en-US"/>
        </w:rPr>
        <w:t>הביצוע מהתקציב ייעשה בהתאם לנהלים המקובלים ובכפוף לכל דין</w:t>
      </w:r>
      <w:r w:rsidR="00987841">
        <w:rPr>
          <w:rFonts w:hint="cs"/>
          <w:szCs w:val="24"/>
          <w:rtl/>
          <w:lang w:eastAsia="en-US"/>
        </w:rPr>
        <w:t>, לרבות, כל עוד לא יאושר חוק תקציב לשנת 2020, הוראות סעיף 3ב(ב) לחוק יסוד: משק המדינה.</w:t>
      </w:r>
      <w:r w:rsidRPr="00462FFB">
        <w:rPr>
          <w:szCs w:val="24"/>
          <w:rtl/>
          <w:lang w:eastAsia="en-US"/>
        </w:rPr>
        <w:t xml:space="preserve"> </w:t>
      </w:r>
    </w:p>
    <w:p w:rsidR="00462FFB" w:rsidRPr="00462FFB" w:rsidRDefault="00515CEE" w:rsidP="00D93E81">
      <w:pPr>
        <w:numPr>
          <w:ilvl w:val="1"/>
          <w:numId w:val="9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lang w:eastAsia="en-US"/>
        </w:rPr>
      </w:pPr>
      <w:r w:rsidRPr="00462FFB">
        <w:rPr>
          <w:szCs w:val="24"/>
          <w:rtl/>
          <w:lang w:eastAsia="en-US"/>
        </w:rPr>
        <w:t xml:space="preserve">תקציב אשר יימצא כי מממן פעילות או סוג פעילות הממומנים כבר על ידי אותו משרד או משרד אחר, יצורף </w:t>
      </w:r>
      <w:r w:rsidR="00D93E81">
        <w:rPr>
          <w:rFonts w:hint="cs"/>
          <w:szCs w:val="24"/>
          <w:rtl/>
          <w:lang w:eastAsia="en-US"/>
        </w:rPr>
        <w:t>למרכיב תכנית הפעולה</w:t>
      </w:r>
      <w:r w:rsidRPr="00462FFB">
        <w:rPr>
          <w:szCs w:val="24"/>
          <w:rtl/>
          <w:lang w:eastAsia="en-US"/>
        </w:rPr>
        <w:t xml:space="preserve"> הקיימת באותו עניין ויבוצע באותו אופן, למניעת כפל מקורות מימון.</w:t>
      </w:r>
    </w:p>
    <w:p w:rsidR="00462FFB" w:rsidRDefault="005057CF" w:rsidP="00AB5FD0">
      <w:pPr>
        <w:numPr>
          <w:ilvl w:val="0"/>
          <w:numId w:val="8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lang w:eastAsia="en-US"/>
        </w:rPr>
      </w:pPr>
      <w:r w:rsidRPr="00FA1F99">
        <w:rPr>
          <w:rFonts w:hint="cs"/>
          <w:szCs w:val="24"/>
          <w:rtl/>
          <w:lang w:eastAsia="en-US"/>
        </w:rPr>
        <w:t>להנחות</w:t>
      </w:r>
      <w:r w:rsidR="006D447C" w:rsidRPr="00FA1F99">
        <w:rPr>
          <w:szCs w:val="24"/>
          <w:rtl/>
          <w:lang w:eastAsia="en-US"/>
        </w:rPr>
        <w:t xml:space="preserve"> את שר האוצר לבצע</w:t>
      </w:r>
      <w:r w:rsidR="00905761">
        <w:rPr>
          <w:rFonts w:hint="cs"/>
          <w:szCs w:val="24"/>
          <w:rtl/>
          <w:lang w:eastAsia="en-US"/>
        </w:rPr>
        <w:t xml:space="preserve">, ככל הנדרש, </w:t>
      </w:r>
      <w:r w:rsidR="006D447C" w:rsidRPr="00FA1F99">
        <w:rPr>
          <w:szCs w:val="24"/>
          <w:rtl/>
          <w:lang w:eastAsia="en-US"/>
        </w:rPr>
        <w:t xml:space="preserve">הפחתת הסכומים </w:t>
      </w:r>
      <w:r w:rsidR="00FA1F99">
        <w:rPr>
          <w:rFonts w:hint="cs"/>
          <w:szCs w:val="24"/>
          <w:rtl/>
          <w:lang w:eastAsia="en-US"/>
        </w:rPr>
        <w:t>המפורטים</w:t>
      </w:r>
      <w:r w:rsidR="00FA1F99" w:rsidRPr="00FA1F99">
        <w:rPr>
          <w:szCs w:val="24"/>
          <w:rtl/>
          <w:lang w:eastAsia="en-US"/>
        </w:rPr>
        <w:t xml:space="preserve"> </w:t>
      </w:r>
      <w:r w:rsidR="006D447C" w:rsidRPr="00FA1F99">
        <w:rPr>
          <w:szCs w:val="24"/>
          <w:rtl/>
          <w:lang w:eastAsia="en-US"/>
        </w:rPr>
        <w:t>בנספח א' להחלטה</w:t>
      </w:r>
      <w:r w:rsidR="006D447C" w:rsidRPr="00FA1F99">
        <w:rPr>
          <w:rFonts w:hint="cs"/>
          <w:szCs w:val="24"/>
          <w:rtl/>
          <w:lang w:eastAsia="en-US"/>
        </w:rPr>
        <w:t>,</w:t>
      </w:r>
      <w:r w:rsidR="006D447C" w:rsidRPr="00FA1F99">
        <w:rPr>
          <w:szCs w:val="24"/>
          <w:rtl/>
          <w:lang w:eastAsia="en-US"/>
        </w:rPr>
        <w:t xml:space="preserve"> </w:t>
      </w:r>
      <w:r w:rsidR="00905761">
        <w:rPr>
          <w:rFonts w:hint="cs"/>
          <w:szCs w:val="24"/>
          <w:rtl/>
          <w:lang w:eastAsia="en-US"/>
        </w:rPr>
        <w:t xml:space="preserve">בשיעור </w:t>
      </w:r>
      <w:r w:rsidR="00AB5FD0">
        <w:rPr>
          <w:rFonts w:hint="cs"/>
          <w:szCs w:val="24"/>
          <w:rtl/>
          <w:lang w:eastAsia="en-US"/>
        </w:rPr>
        <w:t>זהה</w:t>
      </w:r>
      <w:r w:rsidR="00905761">
        <w:rPr>
          <w:rFonts w:hint="cs"/>
          <w:szCs w:val="24"/>
          <w:rtl/>
          <w:lang w:eastAsia="en-US"/>
        </w:rPr>
        <w:t xml:space="preserve">, </w:t>
      </w:r>
      <w:r w:rsidR="006D447C" w:rsidRPr="00FA1F99">
        <w:rPr>
          <w:szCs w:val="24"/>
          <w:rtl/>
          <w:lang w:eastAsia="en-US"/>
        </w:rPr>
        <w:t>ככל שיעלו שינויים בסדרי העדיפות בכפוף למסגרת</w:t>
      </w:r>
      <w:r w:rsidR="006D447C" w:rsidRPr="00FA1F99">
        <w:rPr>
          <w:rFonts w:hint="cs"/>
          <w:szCs w:val="24"/>
          <w:rtl/>
          <w:lang w:eastAsia="en-US"/>
        </w:rPr>
        <w:t xml:space="preserve"> שנקבעה</w:t>
      </w:r>
      <w:r w:rsidR="00746E24" w:rsidRPr="00FA1F99">
        <w:rPr>
          <w:rFonts w:hint="cs"/>
          <w:szCs w:val="24"/>
          <w:rtl/>
          <w:lang w:eastAsia="en-US"/>
        </w:rPr>
        <w:t xml:space="preserve"> </w:t>
      </w:r>
      <w:r w:rsidR="00AB5FD0">
        <w:rPr>
          <w:rFonts w:hint="cs"/>
          <w:szCs w:val="24"/>
          <w:rtl/>
          <w:lang w:eastAsia="en-US"/>
        </w:rPr>
        <w:t xml:space="preserve">ובלבד </w:t>
      </w:r>
      <w:r w:rsidR="00AB5FD0" w:rsidRPr="00FA1F99">
        <w:rPr>
          <w:rFonts w:hint="cs"/>
          <w:szCs w:val="24"/>
          <w:rtl/>
          <w:lang w:eastAsia="en-US"/>
        </w:rPr>
        <w:t xml:space="preserve">שסך </w:t>
      </w:r>
      <w:r w:rsidR="00746E24" w:rsidRPr="00FA1F99">
        <w:rPr>
          <w:rFonts w:hint="cs"/>
          <w:szCs w:val="24"/>
          <w:rtl/>
          <w:lang w:eastAsia="en-US"/>
        </w:rPr>
        <w:t xml:space="preserve">ההוצאה לא יעלה על </w:t>
      </w:r>
      <w:r w:rsidR="00AB5FD0">
        <w:rPr>
          <w:rFonts w:hint="cs"/>
          <w:szCs w:val="24"/>
          <w:rtl/>
          <w:lang w:eastAsia="en-US"/>
        </w:rPr>
        <w:t xml:space="preserve">הסכום </w:t>
      </w:r>
      <w:r w:rsidR="00746E24" w:rsidRPr="00FA1F99">
        <w:rPr>
          <w:rFonts w:hint="cs"/>
          <w:szCs w:val="24"/>
          <w:rtl/>
          <w:lang w:eastAsia="en-US"/>
        </w:rPr>
        <w:t>האמור בסעיף 1</w:t>
      </w:r>
      <w:r w:rsidR="006D447C" w:rsidRPr="00FA1F99">
        <w:rPr>
          <w:szCs w:val="24"/>
          <w:rtl/>
          <w:lang w:eastAsia="en-US"/>
        </w:rPr>
        <w:t xml:space="preserve">, </w:t>
      </w:r>
      <w:r w:rsidR="00AB5FD0">
        <w:rPr>
          <w:rFonts w:hint="cs"/>
          <w:szCs w:val="24"/>
          <w:rtl/>
          <w:lang w:eastAsia="en-US"/>
        </w:rPr>
        <w:t xml:space="preserve">וזאת </w:t>
      </w:r>
      <w:r w:rsidR="006D447C" w:rsidRPr="00FA1F99">
        <w:rPr>
          <w:szCs w:val="24"/>
          <w:rtl/>
          <w:lang w:eastAsia="en-US"/>
        </w:rPr>
        <w:t>עד לאישור</w:t>
      </w:r>
      <w:r w:rsidR="006D447C" w:rsidRPr="00FA1F99">
        <w:rPr>
          <w:rFonts w:hint="cs"/>
          <w:szCs w:val="24"/>
          <w:rtl/>
          <w:lang w:eastAsia="en-US"/>
        </w:rPr>
        <w:t>ה</w:t>
      </w:r>
      <w:r w:rsidR="006D447C" w:rsidRPr="00FA1F99">
        <w:rPr>
          <w:szCs w:val="24"/>
          <w:rtl/>
          <w:lang w:eastAsia="en-US"/>
        </w:rPr>
        <w:t xml:space="preserve"> של </w:t>
      </w:r>
      <w:r w:rsidR="00AB5FD0">
        <w:rPr>
          <w:rFonts w:hint="cs"/>
          <w:szCs w:val="24"/>
          <w:rtl/>
          <w:lang w:eastAsia="en-US"/>
        </w:rPr>
        <w:t>הפעולה</w:t>
      </w:r>
      <w:r w:rsidR="006D447C" w:rsidRPr="00FA1F99">
        <w:rPr>
          <w:szCs w:val="24"/>
          <w:rtl/>
          <w:lang w:eastAsia="en-US"/>
        </w:rPr>
        <w:t xml:space="preserve"> </w:t>
      </w:r>
      <w:r w:rsidR="006D447C" w:rsidRPr="00FA1F99">
        <w:rPr>
          <w:rFonts w:hint="cs"/>
          <w:szCs w:val="24"/>
          <w:rtl/>
          <w:lang w:eastAsia="en-US"/>
        </w:rPr>
        <w:t>בוועדת הכספים</w:t>
      </w:r>
      <w:r w:rsidR="00AB5FD0">
        <w:rPr>
          <w:rFonts w:hint="cs"/>
          <w:szCs w:val="24"/>
          <w:rtl/>
          <w:lang w:eastAsia="en-US"/>
        </w:rPr>
        <w:t xml:space="preserve"> של הכנסת</w:t>
      </w:r>
      <w:r w:rsidR="006D447C" w:rsidRPr="00FA1F99">
        <w:rPr>
          <w:szCs w:val="24"/>
          <w:rtl/>
          <w:lang w:eastAsia="en-US"/>
        </w:rPr>
        <w:t>.</w:t>
      </w:r>
    </w:p>
    <w:p w:rsidR="00F73B4E" w:rsidRPr="00FA1F99" w:rsidRDefault="009B6311" w:rsidP="00B26A5B">
      <w:pPr>
        <w:numPr>
          <w:ilvl w:val="0"/>
          <w:numId w:val="8"/>
        </w:numPr>
        <w:tabs>
          <w:tab w:val="right" w:leader="dot" w:pos="8303"/>
        </w:tabs>
        <w:autoSpaceDE w:val="0"/>
        <w:autoSpaceDN w:val="0"/>
        <w:contextualSpacing/>
        <w:jc w:val="both"/>
        <w:rPr>
          <w:szCs w:val="24"/>
          <w:rtl/>
          <w:lang w:eastAsia="en-US"/>
        </w:rPr>
      </w:pPr>
      <w:r>
        <w:rPr>
          <w:rFonts w:hint="cs"/>
          <w:szCs w:val="24"/>
          <w:rtl/>
          <w:lang w:eastAsia="en-US"/>
        </w:rPr>
        <w:t xml:space="preserve">להטיל על הממונה על התקציבים, במועד אישור תכנית הפעולה בוועדת הכספים של הכנסת (להלן </w:t>
      </w:r>
      <w:r>
        <w:rPr>
          <w:szCs w:val="24"/>
          <w:rtl/>
          <w:lang w:eastAsia="en-US"/>
        </w:rPr>
        <w:t>–</w:t>
      </w:r>
      <w:r>
        <w:rPr>
          <w:rFonts w:hint="cs"/>
          <w:szCs w:val="24"/>
          <w:rtl/>
          <w:lang w:eastAsia="en-US"/>
        </w:rPr>
        <w:t xml:space="preserve"> הוועדה), להציג בפני הוועדה את הייעוד הפרטני של הסכומים המפורטים בנספח א' </w:t>
      </w:r>
      <w:r w:rsidR="00B26A5B">
        <w:rPr>
          <w:rFonts w:hint="cs"/>
          <w:szCs w:val="24"/>
          <w:rtl/>
          <w:lang w:eastAsia="en-US"/>
        </w:rPr>
        <w:t xml:space="preserve">בתוך כל תכנית כמפורט בנספח האמור </w:t>
      </w:r>
      <w:r>
        <w:rPr>
          <w:rFonts w:hint="cs"/>
          <w:szCs w:val="24"/>
          <w:rtl/>
          <w:lang w:eastAsia="en-US"/>
        </w:rPr>
        <w:t xml:space="preserve">ואת התקציב המוקצה לכל אחד מהייעודים כאמור. הפירוט האמור יפורסם באתר משרד האוצר מיד לאחר הצגתו בוועדה, וכל שינוי </w:t>
      </w:r>
      <w:r w:rsidR="00B26A5B">
        <w:rPr>
          <w:rFonts w:hint="cs"/>
          <w:szCs w:val="24"/>
          <w:rtl/>
          <w:lang w:eastAsia="en-US"/>
        </w:rPr>
        <w:t>בו</w:t>
      </w:r>
      <w:r>
        <w:rPr>
          <w:rFonts w:hint="cs"/>
          <w:szCs w:val="24"/>
          <w:rtl/>
          <w:lang w:eastAsia="en-US"/>
        </w:rPr>
        <w:t xml:space="preserve"> יותנה באישור הממשלה. </w:t>
      </w:r>
    </w:p>
    <w:p w:rsidR="00462FFB" w:rsidRDefault="00462FFB" w:rsidP="00462FFB">
      <w:pPr>
        <w:tabs>
          <w:tab w:val="right" w:leader="dot" w:pos="8303"/>
        </w:tabs>
        <w:autoSpaceDE w:val="0"/>
        <w:autoSpaceDN w:val="0"/>
        <w:ind w:left="360"/>
        <w:contextualSpacing/>
        <w:jc w:val="both"/>
        <w:rPr>
          <w:rFonts w:ascii="Arial" w:eastAsia="Arial Unicode MS" w:hAnsi="Arial"/>
          <w:b/>
          <w:bCs/>
          <w:snapToGrid w:val="0"/>
          <w:color w:val="000000"/>
          <w:sz w:val="26"/>
          <w:rtl/>
          <w:lang w:eastAsia="ja-JP"/>
        </w:rPr>
      </w:pPr>
    </w:p>
    <w:p w:rsidR="00462FFB" w:rsidRPr="00462FFB" w:rsidRDefault="00515CEE" w:rsidP="00462FFB">
      <w:pPr>
        <w:tabs>
          <w:tab w:val="right" w:leader="dot" w:pos="8303"/>
        </w:tabs>
        <w:autoSpaceDE w:val="0"/>
        <w:autoSpaceDN w:val="0"/>
        <w:ind w:left="360"/>
        <w:contextualSpacing/>
        <w:jc w:val="both"/>
        <w:rPr>
          <w:rFonts w:hint="cs"/>
          <w:szCs w:val="24"/>
          <w:rtl/>
          <w:lang w:eastAsia="en-US"/>
        </w:rPr>
      </w:pPr>
      <w:r w:rsidRPr="00462FFB">
        <w:rPr>
          <w:rFonts w:ascii="Arial" w:eastAsia="Arial Unicode MS" w:hAnsi="Arial" w:hint="cs"/>
          <w:b/>
          <w:bCs/>
          <w:snapToGrid w:val="0"/>
          <w:color w:val="000000"/>
          <w:sz w:val="26"/>
          <w:rtl/>
          <w:lang w:eastAsia="ja-JP"/>
        </w:rPr>
        <w:t>דברי הסבר</w:t>
      </w:r>
    </w:p>
    <w:p w:rsidR="00462FFB" w:rsidRPr="00DD1962" w:rsidRDefault="00462FFB" w:rsidP="00462FFB">
      <w:pPr>
        <w:tabs>
          <w:tab w:val="right" w:leader="dot" w:pos="8303"/>
        </w:tabs>
        <w:bidi w:val="0"/>
        <w:jc w:val="right"/>
        <w:rPr>
          <w:sz w:val="26"/>
          <w:rtl/>
          <w:lang w:eastAsia="en-US"/>
        </w:rPr>
      </w:pPr>
    </w:p>
    <w:p w:rsidR="00074D9B" w:rsidRDefault="00074D9B" w:rsidP="006D447C">
      <w:pPr>
        <w:widowControl w:val="0"/>
        <w:spacing w:after="240"/>
        <w:ind w:left="-51"/>
        <w:contextualSpacing/>
        <w:jc w:val="both"/>
        <w:rPr>
          <w:rFonts w:ascii="Arial" w:hAnsi="Arial" w:hint="cs"/>
          <w:szCs w:val="24"/>
          <w:rtl/>
          <w:lang w:eastAsia="en-US"/>
        </w:rPr>
      </w:pPr>
    </w:p>
    <w:p w:rsidR="00095652" w:rsidRDefault="00095652" w:rsidP="006C2177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  <w:r>
        <w:rPr>
          <w:rFonts w:ascii="Arial" w:hAnsi="Arial" w:hint="cs"/>
          <w:szCs w:val="24"/>
          <w:rtl/>
          <w:lang w:eastAsia="en-US"/>
        </w:rPr>
        <w:t>מוצע</w:t>
      </w:r>
      <w:r w:rsidRPr="00DD1962">
        <w:rPr>
          <w:rFonts w:ascii="Arial" w:hAnsi="Arial" w:hint="cs"/>
          <w:szCs w:val="24"/>
          <w:rtl/>
          <w:lang w:eastAsia="en-US"/>
        </w:rPr>
        <w:t xml:space="preserve"> לקבוע כי בשנת 2020 יוקצה תקציב חד פעמי בגובה </w:t>
      </w:r>
      <w:r w:rsidR="006C2177">
        <w:rPr>
          <w:rFonts w:ascii="Arial" w:hAnsi="Arial" w:hint="cs"/>
          <w:szCs w:val="24"/>
          <w:rtl/>
          <w:lang w:eastAsia="en-US"/>
        </w:rPr>
        <w:t>941</w:t>
      </w:r>
      <w:r w:rsidR="007A5644">
        <w:rPr>
          <w:rFonts w:ascii="Arial" w:hAnsi="Arial" w:hint="cs"/>
          <w:szCs w:val="24"/>
          <w:rtl/>
          <w:lang w:eastAsia="en-US"/>
        </w:rPr>
        <w:t xml:space="preserve">.7 </w:t>
      </w:r>
      <w:r w:rsidRPr="00DD1962">
        <w:rPr>
          <w:rFonts w:ascii="Arial" w:hAnsi="Arial" w:hint="cs"/>
          <w:szCs w:val="24"/>
          <w:rtl/>
          <w:lang w:eastAsia="en-US"/>
        </w:rPr>
        <w:t>מיליון ש"ח לצורך יישום הסכמים קואליציוניים</w:t>
      </w:r>
      <w:r>
        <w:rPr>
          <w:rFonts w:ascii="Arial" w:hAnsi="Arial" w:hint="cs"/>
          <w:szCs w:val="24"/>
          <w:rtl/>
          <w:lang w:eastAsia="en-US"/>
        </w:rPr>
        <w:t>.</w:t>
      </w:r>
    </w:p>
    <w:p w:rsidR="00095652" w:rsidRDefault="00515CEE" w:rsidP="00095652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  <w:r w:rsidRPr="00DD1962">
        <w:rPr>
          <w:rFonts w:ascii="Arial" w:hAnsi="Arial" w:hint="cs"/>
          <w:szCs w:val="24"/>
          <w:rtl/>
          <w:lang w:eastAsia="en-US"/>
        </w:rPr>
        <w:t>לצורך הגברת השקיפות בהליך הקצאת התקציבים הנובעים מההסכמים הקואליציוניי</w:t>
      </w:r>
      <w:r w:rsidRPr="00DD1962">
        <w:rPr>
          <w:rFonts w:ascii="Arial" w:hAnsi="Arial" w:hint="eastAsia"/>
          <w:szCs w:val="24"/>
          <w:rtl/>
          <w:lang w:eastAsia="en-US"/>
        </w:rPr>
        <w:t>ם</w:t>
      </w:r>
      <w:r w:rsidRPr="00DD1962">
        <w:rPr>
          <w:rFonts w:ascii="Arial" w:hAnsi="Arial" w:hint="cs"/>
          <w:szCs w:val="24"/>
          <w:rtl/>
          <w:lang w:eastAsia="en-US"/>
        </w:rPr>
        <w:t xml:space="preserve">, ובהתאם להנחיית היועץ המשפטי לממשלה מס' 1.801 </w:t>
      </w:r>
      <w:r w:rsidR="004D732B">
        <w:rPr>
          <w:rFonts w:ascii="Arial" w:hAnsi="Arial" w:hint="cs"/>
          <w:szCs w:val="24"/>
          <w:rtl/>
          <w:lang w:eastAsia="en-US"/>
        </w:rPr>
        <w:t xml:space="preserve">(להלן </w:t>
      </w:r>
      <w:r w:rsidR="004D732B">
        <w:rPr>
          <w:rFonts w:ascii="Arial" w:hAnsi="Arial"/>
          <w:szCs w:val="24"/>
          <w:rtl/>
          <w:lang w:eastAsia="en-US"/>
        </w:rPr>
        <w:t>–</w:t>
      </w:r>
      <w:r w:rsidR="004D732B">
        <w:rPr>
          <w:rFonts w:ascii="Arial" w:hAnsi="Arial" w:hint="cs"/>
          <w:szCs w:val="24"/>
          <w:rtl/>
          <w:lang w:eastAsia="en-US"/>
        </w:rPr>
        <w:t xml:space="preserve"> </w:t>
      </w:r>
      <w:r w:rsidR="004D732B">
        <w:rPr>
          <w:rFonts w:ascii="Arial" w:hAnsi="Arial" w:hint="cs"/>
          <w:b/>
          <w:bCs/>
          <w:szCs w:val="24"/>
          <w:rtl/>
          <w:lang w:eastAsia="en-US"/>
        </w:rPr>
        <w:t>הנחיית היועץ)</w:t>
      </w:r>
      <w:r w:rsidRPr="00DD1962">
        <w:rPr>
          <w:rFonts w:ascii="Arial" w:hAnsi="Arial" w:hint="cs"/>
          <w:szCs w:val="24"/>
          <w:rtl/>
          <w:lang w:eastAsia="en-US"/>
        </w:rPr>
        <w:t xml:space="preserve"> בעניין יישום הסכמים פוליטיים בעלי משמעות תקציבית</w:t>
      </w:r>
      <w:r w:rsidR="004D732B">
        <w:rPr>
          <w:rFonts w:ascii="Arial" w:hAnsi="Arial" w:hint="cs"/>
          <w:szCs w:val="24"/>
          <w:rtl/>
          <w:lang w:eastAsia="en-US"/>
        </w:rPr>
        <w:t>,</w:t>
      </w:r>
      <w:r w:rsidR="006773C3">
        <w:rPr>
          <w:rFonts w:ascii="Arial" w:hAnsi="Arial" w:hint="cs"/>
          <w:szCs w:val="24"/>
          <w:rtl/>
          <w:lang w:eastAsia="en-US"/>
        </w:rPr>
        <w:t xml:space="preserve"> </w:t>
      </w:r>
      <w:r w:rsidR="00095652">
        <w:rPr>
          <w:rFonts w:ascii="Arial" w:hAnsi="Arial" w:hint="cs"/>
          <w:szCs w:val="24"/>
          <w:rtl/>
          <w:lang w:eastAsia="en-US"/>
        </w:rPr>
        <w:t>הקצאת הסכום האמור תהיה לפירוט</w:t>
      </w:r>
      <w:r w:rsidR="006773C3">
        <w:rPr>
          <w:rFonts w:ascii="Arial" w:hAnsi="Arial" w:hint="cs"/>
          <w:szCs w:val="24"/>
          <w:rtl/>
          <w:lang w:eastAsia="en-US"/>
        </w:rPr>
        <w:t xml:space="preserve"> בנספח א' להחלטה זו</w:t>
      </w:r>
      <w:r w:rsidR="003A2E6E">
        <w:rPr>
          <w:rFonts w:ascii="Arial" w:hAnsi="Arial" w:hint="cs"/>
          <w:szCs w:val="24"/>
          <w:rtl/>
          <w:lang w:eastAsia="en-US"/>
        </w:rPr>
        <w:t xml:space="preserve">, </w:t>
      </w:r>
      <w:r w:rsidR="00095652">
        <w:rPr>
          <w:rFonts w:ascii="Arial" w:hAnsi="Arial" w:hint="cs"/>
          <w:szCs w:val="24"/>
          <w:rtl/>
          <w:lang w:eastAsia="en-US"/>
        </w:rPr>
        <w:t>ובכפוף</w:t>
      </w:r>
      <w:r w:rsidR="003A2E6E">
        <w:rPr>
          <w:rFonts w:ascii="Arial" w:hAnsi="Arial" w:hint="cs"/>
          <w:szCs w:val="24"/>
          <w:rtl/>
          <w:lang w:eastAsia="en-US"/>
        </w:rPr>
        <w:t xml:space="preserve"> לאמור בהנחיית היועץ</w:t>
      </w:r>
      <w:r w:rsidR="003A2E6E" w:rsidRPr="00DD1962">
        <w:rPr>
          <w:rFonts w:ascii="Arial" w:hAnsi="Arial" w:hint="cs"/>
          <w:szCs w:val="24"/>
          <w:rtl/>
          <w:lang w:eastAsia="en-US"/>
        </w:rPr>
        <w:t xml:space="preserve">. </w:t>
      </w:r>
    </w:p>
    <w:p w:rsidR="00BF6F93" w:rsidRDefault="003A2E6E" w:rsidP="00095652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  <w:r>
        <w:rPr>
          <w:rFonts w:ascii="Arial" w:hAnsi="Arial" w:hint="cs"/>
          <w:szCs w:val="24"/>
          <w:rtl/>
          <w:lang w:eastAsia="en-US"/>
        </w:rPr>
        <w:t xml:space="preserve">התקציב האמור בהחלטה זו יוקצה בתכנית רזרבה בכל אחד מהסעיפים השונים </w:t>
      </w:r>
      <w:r w:rsidR="00095652">
        <w:rPr>
          <w:rFonts w:ascii="Arial" w:hAnsi="Arial" w:hint="cs"/>
          <w:szCs w:val="24"/>
          <w:rtl/>
          <w:lang w:eastAsia="en-US"/>
        </w:rPr>
        <w:t xml:space="preserve">של תכנית הפעולה המפורטת כמשמעותה בחוק יסוד: משק המדינה (להלן </w:t>
      </w:r>
      <w:r w:rsidR="00095652">
        <w:rPr>
          <w:rFonts w:ascii="Arial" w:hAnsi="Arial"/>
          <w:szCs w:val="24"/>
          <w:rtl/>
          <w:lang w:eastAsia="en-US"/>
        </w:rPr>
        <w:t>–</w:t>
      </w:r>
      <w:r w:rsidR="00095652">
        <w:rPr>
          <w:rFonts w:ascii="Arial" w:hAnsi="Arial" w:hint="cs"/>
          <w:szCs w:val="24"/>
          <w:rtl/>
          <w:lang w:eastAsia="en-US"/>
        </w:rPr>
        <w:t xml:space="preserve"> חוק היסוד), </w:t>
      </w:r>
      <w:r>
        <w:rPr>
          <w:rFonts w:ascii="Arial" w:hAnsi="Arial" w:hint="cs"/>
          <w:szCs w:val="24"/>
          <w:rtl/>
          <w:lang w:eastAsia="en-US"/>
        </w:rPr>
        <w:t xml:space="preserve">וזאת עד לקבלת חוות דעת מקצועית ומשפטית המאפשרת להקצות את הסכום הנדרש לתקנה הספציפית </w:t>
      </w:r>
      <w:r w:rsidR="00095652">
        <w:rPr>
          <w:rFonts w:ascii="Arial" w:hAnsi="Arial" w:hint="cs"/>
          <w:szCs w:val="24"/>
          <w:rtl/>
          <w:lang w:eastAsia="en-US"/>
        </w:rPr>
        <w:t>לצורך ביצועו</w:t>
      </w:r>
      <w:r>
        <w:rPr>
          <w:rFonts w:ascii="Arial" w:hAnsi="Arial" w:hint="cs"/>
          <w:szCs w:val="24"/>
          <w:rtl/>
          <w:lang w:eastAsia="en-US"/>
        </w:rPr>
        <w:t>.</w:t>
      </w:r>
      <w:r w:rsidR="00594E7B">
        <w:rPr>
          <w:rFonts w:ascii="Arial" w:hAnsi="Arial" w:hint="cs"/>
          <w:szCs w:val="24"/>
          <w:rtl/>
          <w:lang w:eastAsia="en-US"/>
        </w:rPr>
        <w:t xml:space="preserve"> </w:t>
      </w:r>
      <w:r>
        <w:rPr>
          <w:rFonts w:ascii="Arial" w:hAnsi="Arial" w:hint="cs"/>
          <w:szCs w:val="24"/>
          <w:rtl/>
          <w:lang w:eastAsia="en-US"/>
        </w:rPr>
        <w:t xml:space="preserve">יובהר כי עד לאישור חוק התקציב לשנת 2020 הוצאת </w:t>
      </w:r>
      <w:r w:rsidR="00095652">
        <w:rPr>
          <w:rFonts w:ascii="Arial" w:hAnsi="Arial" w:hint="cs"/>
          <w:szCs w:val="24"/>
          <w:rtl/>
          <w:lang w:eastAsia="en-US"/>
        </w:rPr>
        <w:t>ה</w:t>
      </w:r>
      <w:r>
        <w:rPr>
          <w:rFonts w:ascii="Arial" w:hAnsi="Arial" w:hint="cs"/>
          <w:szCs w:val="24"/>
          <w:rtl/>
          <w:lang w:eastAsia="en-US"/>
        </w:rPr>
        <w:t xml:space="preserve">סכומים </w:t>
      </w:r>
      <w:r w:rsidR="00095652">
        <w:rPr>
          <w:rFonts w:ascii="Arial" w:hAnsi="Arial" w:hint="cs"/>
          <w:szCs w:val="24"/>
          <w:rtl/>
          <w:lang w:eastAsia="en-US"/>
        </w:rPr>
        <w:t>האמורים ב</w:t>
      </w:r>
      <w:r>
        <w:rPr>
          <w:rFonts w:ascii="Arial" w:hAnsi="Arial" w:hint="cs"/>
          <w:szCs w:val="24"/>
          <w:rtl/>
          <w:lang w:eastAsia="en-US"/>
        </w:rPr>
        <w:t xml:space="preserve">החלטה זו כפופה </w:t>
      </w:r>
      <w:r w:rsidR="00BF6F93">
        <w:rPr>
          <w:rFonts w:ascii="Arial" w:hAnsi="Arial" w:hint="cs"/>
          <w:szCs w:val="24"/>
          <w:rtl/>
          <w:lang w:eastAsia="en-US"/>
        </w:rPr>
        <w:t xml:space="preserve">למדרג הקבוע בהוראות סעיף 3ב(ב) לחוק היסוד. </w:t>
      </w:r>
    </w:p>
    <w:p w:rsidR="004B64D4" w:rsidRDefault="004B64D4" w:rsidP="004B64D4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</w:p>
    <w:p w:rsidR="004B64D4" w:rsidRDefault="00BA019B" w:rsidP="00095652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  <w:r>
        <w:rPr>
          <w:rFonts w:ascii="Arial" w:hAnsi="Arial" w:hint="cs"/>
          <w:szCs w:val="24"/>
          <w:rtl/>
          <w:lang w:eastAsia="en-US"/>
        </w:rPr>
        <w:t>בהתאם להנחיית היועץ</w:t>
      </w:r>
      <w:r w:rsidR="003A2E6E">
        <w:rPr>
          <w:rFonts w:ascii="Arial" w:hAnsi="Arial" w:hint="cs"/>
          <w:szCs w:val="24"/>
          <w:rtl/>
          <w:lang w:eastAsia="en-US"/>
        </w:rPr>
        <w:t>,</w:t>
      </w:r>
      <w:r>
        <w:rPr>
          <w:rFonts w:ascii="Arial" w:hAnsi="Arial" w:hint="cs"/>
          <w:szCs w:val="24"/>
          <w:rtl/>
          <w:lang w:eastAsia="en-US"/>
        </w:rPr>
        <w:t xml:space="preserve"> </w:t>
      </w:r>
      <w:r w:rsidR="00095652">
        <w:rPr>
          <w:rFonts w:ascii="Arial" w:hAnsi="Arial" w:hint="cs"/>
          <w:szCs w:val="24"/>
          <w:rtl/>
          <w:lang w:eastAsia="en-US"/>
        </w:rPr>
        <w:t xml:space="preserve">סכומים אלה כפופים לבדיקות פרטניות ומיועדים לפעילויות קיימות ולא ניתן יהיה לפתוח בגינן תקנות חדשות. כמו כן, </w:t>
      </w:r>
      <w:r w:rsidR="004B64D4">
        <w:rPr>
          <w:rFonts w:ascii="Arial" w:hAnsi="Arial" w:hint="cs"/>
          <w:szCs w:val="24"/>
          <w:rtl/>
          <w:lang w:eastAsia="en-US"/>
        </w:rPr>
        <w:t xml:space="preserve"> שינוי בייעוד של הסכומים </w:t>
      </w:r>
      <w:r w:rsidR="00095652">
        <w:rPr>
          <w:rFonts w:ascii="Arial" w:hAnsi="Arial" w:hint="cs"/>
          <w:szCs w:val="24"/>
          <w:rtl/>
          <w:lang w:eastAsia="en-US"/>
        </w:rPr>
        <w:t xml:space="preserve">המפורטים </w:t>
      </w:r>
      <w:r w:rsidR="004B64D4">
        <w:rPr>
          <w:rFonts w:ascii="Arial" w:hAnsi="Arial" w:hint="cs"/>
          <w:szCs w:val="24"/>
          <w:rtl/>
          <w:lang w:eastAsia="en-US"/>
        </w:rPr>
        <w:t>בנספח א' ידרוש תיקון של החלטת ממשלה זו.</w:t>
      </w:r>
      <w:r w:rsidR="004B64D4" w:rsidRPr="004B64D4">
        <w:rPr>
          <w:rFonts w:ascii="Arial" w:hAnsi="Arial" w:hint="cs"/>
          <w:szCs w:val="24"/>
          <w:rtl/>
          <w:lang w:eastAsia="en-US"/>
        </w:rPr>
        <w:t xml:space="preserve"> </w:t>
      </w:r>
    </w:p>
    <w:p w:rsidR="004B64D4" w:rsidRDefault="004B64D4" w:rsidP="004B64D4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rtl/>
          <w:lang w:eastAsia="en-US"/>
        </w:rPr>
      </w:pPr>
    </w:p>
    <w:p w:rsidR="00074D9B" w:rsidRPr="00DD1962" w:rsidRDefault="00074D9B" w:rsidP="00462FFB">
      <w:pPr>
        <w:widowControl w:val="0"/>
        <w:spacing w:after="240"/>
        <w:ind w:left="-51"/>
        <w:contextualSpacing/>
        <w:jc w:val="both"/>
        <w:rPr>
          <w:rFonts w:ascii="Arial" w:hAnsi="Arial"/>
          <w:szCs w:val="24"/>
          <w:highlight w:val="yellow"/>
          <w:rtl/>
          <w:lang w:eastAsia="en-US"/>
        </w:rPr>
      </w:pPr>
    </w:p>
    <w:p w:rsidR="00462FFB" w:rsidRPr="00DD1962" w:rsidRDefault="00515CEE" w:rsidP="00462FFB">
      <w:pPr>
        <w:bidi w:val="0"/>
        <w:jc w:val="right"/>
        <w:rPr>
          <w:rFonts w:ascii="David" w:hAnsi="David"/>
          <w:b/>
          <w:bCs/>
          <w:sz w:val="26"/>
          <w:rtl/>
          <w:lang w:eastAsia="en-US"/>
        </w:rPr>
      </w:pPr>
      <w:r w:rsidRPr="00DD1962">
        <w:rPr>
          <w:rFonts w:ascii="David" w:hAnsi="David" w:hint="cs"/>
          <w:b/>
          <w:bCs/>
          <w:sz w:val="26"/>
          <w:rtl/>
          <w:lang w:eastAsia="en-US"/>
        </w:rPr>
        <w:t>תקציב</w:t>
      </w:r>
    </w:p>
    <w:p w:rsidR="00462FFB" w:rsidRPr="00DD1962" w:rsidRDefault="00462FFB" w:rsidP="00462FFB">
      <w:pPr>
        <w:bidi w:val="0"/>
        <w:jc w:val="right"/>
        <w:rPr>
          <w:rFonts w:ascii="David" w:hAnsi="David"/>
          <w:b/>
          <w:bCs/>
          <w:sz w:val="26"/>
          <w:u w:val="single"/>
          <w:rtl/>
          <w:lang w:eastAsia="en-US"/>
        </w:rPr>
      </w:pPr>
    </w:p>
    <w:p w:rsidR="00462FFB" w:rsidRPr="00DD1962" w:rsidRDefault="00515CEE" w:rsidP="006C2177">
      <w:pPr>
        <w:rPr>
          <w:rFonts w:ascii="David" w:hAnsi="David"/>
          <w:szCs w:val="24"/>
          <w:lang w:eastAsia="en-US"/>
        </w:rPr>
      </w:pPr>
      <w:r w:rsidRPr="00DD1962">
        <w:rPr>
          <w:rFonts w:ascii="David" w:hAnsi="David"/>
          <w:szCs w:val="24"/>
          <w:rtl/>
          <w:lang w:eastAsia="en-US"/>
        </w:rPr>
        <w:t xml:space="preserve">ביצוע ההחלטה כרוך בהוצאה של </w:t>
      </w:r>
      <w:r w:rsidR="006C2177">
        <w:rPr>
          <w:rFonts w:ascii="David" w:hAnsi="David" w:hint="cs"/>
          <w:szCs w:val="24"/>
          <w:rtl/>
          <w:lang w:eastAsia="en-US"/>
        </w:rPr>
        <w:t>941</w:t>
      </w:r>
      <w:r w:rsidR="007A5644">
        <w:rPr>
          <w:rFonts w:ascii="David" w:hAnsi="David" w:hint="cs"/>
          <w:szCs w:val="24"/>
          <w:rtl/>
          <w:lang w:eastAsia="en-US"/>
        </w:rPr>
        <w:t xml:space="preserve">.7 </w:t>
      </w:r>
      <w:r w:rsidRPr="00DD1962">
        <w:rPr>
          <w:rFonts w:ascii="David" w:hAnsi="David"/>
          <w:szCs w:val="24"/>
          <w:rtl/>
          <w:lang w:eastAsia="en-US"/>
        </w:rPr>
        <w:t xml:space="preserve">מיליון ש"ח בשנת </w:t>
      </w:r>
      <w:r w:rsidRPr="00DD1962">
        <w:rPr>
          <w:rFonts w:ascii="David" w:hAnsi="David" w:hint="cs"/>
          <w:szCs w:val="24"/>
          <w:rtl/>
          <w:lang w:eastAsia="en-US"/>
        </w:rPr>
        <w:t>2020.</w:t>
      </w:r>
    </w:p>
    <w:p w:rsidR="00462FFB" w:rsidRPr="00DD1962" w:rsidRDefault="00462FFB" w:rsidP="00462FFB">
      <w:pPr>
        <w:bidi w:val="0"/>
        <w:jc w:val="right"/>
        <w:rPr>
          <w:rFonts w:ascii="David" w:hAnsi="David"/>
          <w:sz w:val="26"/>
          <w:lang w:eastAsia="en-US"/>
        </w:rPr>
      </w:pPr>
    </w:p>
    <w:p w:rsidR="00462FFB" w:rsidRPr="00DD1962" w:rsidRDefault="00515CEE" w:rsidP="00462FFB">
      <w:pPr>
        <w:bidi w:val="0"/>
        <w:jc w:val="right"/>
        <w:rPr>
          <w:rFonts w:ascii="David" w:hAnsi="David"/>
          <w:b/>
          <w:bCs/>
          <w:sz w:val="26"/>
          <w:rtl/>
          <w:lang w:eastAsia="en-US"/>
        </w:rPr>
      </w:pPr>
      <w:r w:rsidRPr="00DD1962">
        <w:rPr>
          <w:rFonts w:ascii="David" w:hAnsi="David" w:hint="cs"/>
          <w:b/>
          <w:bCs/>
          <w:sz w:val="26"/>
          <w:rtl/>
          <w:lang w:eastAsia="en-US"/>
        </w:rPr>
        <w:t xml:space="preserve">השפעת ההצעה על מצבת </w:t>
      </w:r>
      <w:proofErr w:type="spellStart"/>
      <w:r w:rsidRPr="00DD1962">
        <w:rPr>
          <w:rFonts w:ascii="David" w:hAnsi="David" w:hint="cs"/>
          <w:b/>
          <w:bCs/>
          <w:sz w:val="26"/>
          <w:rtl/>
          <w:lang w:eastAsia="en-US"/>
        </w:rPr>
        <w:t>כח</w:t>
      </w:r>
      <w:proofErr w:type="spellEnd"/>
      <w:r w:rsidRPr="00DD1962">
        <w:rPr>
          <w:rFonts w:ascii="David" w:hAnsi="David" w:hint="cs"/>
          <w:b/>
          <w:bCs/>
          <w:sz w:val="26"/>
          <w:rtl/>
          <w:lang w:eastAsia="en-US"/>
        </w:rPr>
        <w:t xml:space="preserve"> האדם</w:t>
      </w:r>
    </w:p>
    <w:p w:rsidR="00462FFB" w:rsidRPr="00DD1962" w:rsidRDefault="00462FFB" w:rsidP="00462FFB">
      <w:pPr>
        <w:bidi w:val="0"/>
        <w:jc w:val="right"/>
        <w:rPr>
          <w:rFonts w:ascii="David" w:hAnsi="David"/>
          <w:b/>
          <w:bCs/>
          <w:sz w:val="26"/>
          <w:u w:val="single"/>
          <w:rtl/>
          <w:lang w:eastAsia="en-US"/>
        </w:rPr>
      </w:pPr>
    </w:p>
    <w:p w:rsidR="00462FFB" w:rsidRPr="00DD1962" w:rsidRDefault="00515CEE" w:rsidP="00462FFB">
      <w:pPr>
        <w:bidi w:val="0"/>
        <w:jc w:val="right"/>
        <w:rPr>
          <w:rFonts w:ascii="David" w:hAnsi="David"/>
          <w:sz w:val="26"/>
          <w:rtl/>
          <w:lang w:eastAsia="en-US"/>
        </w:rPr>
      </w:pPr>
      <w:r w:rsidRPr="00DD1962">
        <w:rPr>
          <w:rFonts w:ascii="David" w:hAnsi="David" w:hint="cs"/>
          <w:sz w:val="26"/>
          <w:rtl/>
          <w:lang w:eastAsia="en-US"/>
        </w:rPr>
        <w:t>אין</w:t>
      </w:r>
    </w:p>
    <w:p w:rsidR="00462FFB" w:rsidRPr="00DD1962" w:rsidRDefault="00462FFB" w:rsidP="00462FFB">
      <w:pPr>
        <w:bidi w:val="0"/>
        <w:jc w:val="right"/>
        <w:rPr>
          <w:rFonts w:ascii="David" w:hAnsi="David"/>
          <w:sz w:val="26"/>
          <w:rtl/>
          <w:lang w:eastAsia="en-US"/>
        </w:rPr>
      </w:pPr>
    </w:p>
    <w:p w:rsidR="00462FFB" w:rsidRPr="00DD1962" w:rsidRDefault="00515CEE" w:rsidP="00462FFB">
      <w:pPr>
        <w:bidi w:val="0"/>
        <w:jc w:val="right"/>
        <w:rPr>
          <w:rFonts w:ascii="David" w:hAnsi="David"/>
          <w:b/>
          <w:bCs/>
          <w:sz w:val="26"/>
          <w:rtl/>
          <w:lang w:eastAsia="en-US"/>
        </w:rPr>
      </w:pPr>
      <w:r w:rsidRPr="00DD1962">
        <w:rPr>
          <w:rFonts w:ascii="David" w:hAnsi="David" w:hint="cs"/>
          <w:b/>
          <w:bCs/>
          <w:sz w:val="26"/>
          <w:rtl/>
          <w:lang w:eastAsia="en-US"/>
        </w:rPr>
        <w:t>החלטות קודמות של הממשלה בנושא</w:t>
      </w:r>
    </w:p>
    <w:p w:rsidR="00462FFB" w:rsidRPr="00DD1962" w:rsidRDefault="006C2177" w:rsidP="00462FFB">
      <w:pPr>
        <w:tabs>
          <w:tab w:val="right" w:leader="dot" w:pos="8303"/>
        </w:tabs>
        <w:bidi w:val="0"/>
        <w:jc w:val="right"/>
        <w:rPr>
          <w:rFonts w:ascii="David" w:hAnsi="David"/>
          <w:szCs w:val="24"/>
          <w:rtl/>
          <w:lang w:eastAsia="en-US"/>
        </w:rPr>
      </w:pPr>
      <w:r>
        <w:rPr>
          <w:rFonts w:ascii="David" w:hAnsi="David" w:hint="cs"/>
          <w:szCs w:val="24"/>
          <w:rtl/>
          <w:lang w:eastAsia="en-US"/>
        </w:rPr>
        <w:t>אין</w:t>
      </w:r>
    </w:p>
    <w:p w:rsidR="00462FFB" w:rsidRDefault="00462FFB" w:rsidP="00462FFB">
      <w:pPr>
        <w:widowControl w:val="0"/>
        <w:jc w:val="both"/>
        <w:outlineLvl w:val="1"/>
        <w:rPr>
          <w:rFonts w:hint="cs"/>
          <w:b/>
          <w:bCs/>
          <w:caps/>
          <w:spacing w:val="15"/>
          <w:sz w:val="32"/>
          <w:szCs w:val="32"/>
          <w:rtl/>
          <w:lang w:eastAsia="en-US"/>
        </w:rPr>
      </w:pPr>
    </w:p>
    <w:p w:rsidR="00462FFB" w:rsidRDefault="00515CEE" w:rsidP="00462FFB">
      <w:pPr>
        <w:spacing w:after="240"/>
        <w:jc w:val="center"/>
        <w:rPr>
          <w:rFonts w:ascii="David" w:hAnsi="David"/>
          <w:sz w:val="28"/>
          <w:szCs w:val="28"/>
          <w:rtl/>
        </w:rPr>
      </w:pPr>
      <w:r w:rsidRPr="00390074">
        <w:rPr>
          <w:rFonts w:ascii="David" w:hAnsi="David"/>
          <w:u w:val="single"/>
          <w:rtl/>
        </w:rPr>
        <w:t>נספח א' – חלוקה לתחומים</w:t>
      </w:r>
      <w:r w:rsidRPr="00390074">
        <w:rPr>
          <w:rFonts w:ascii="David" w:hAnsi="David"/>
          <w:sz w:val="28"/>
          <w:szCs w:val="28"/>
          <w:rtl/>
        </w:rPr>
        <w:t xml:space="preserve"> </w:t>
      </w:r>
    </w:p>
    <w:tbl>
      <w:tblPr>
        <w:bidiVisual/>
        <w:tblW w:w="5345" w:type="pct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093"/>
        <w:gridCol w:w="1637"/>
        <w:gridCol w:w="1054"/>
        <w:gridCol w:w="3446"/>
      </w:tblGrid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משרד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מספר תכנית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שם תכנית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סכום 2020 (</w:t>
            </w:r>
            <w:proofErr w:type="spellStart"/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אלש"ח</w:t>
            </w:r>
            <w:proofErr w:type="spellEnd"/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b/>
                <w:bCs/>
                <w:color w:val="000000"/>
                <w:sz w:val="18"/>
                <w:szCs w:val="18"/>
                <w:rtl/>
                <w:lang w:eastAsia="en-US"/>
              </w:rPr>
              <w:t>פירוט</w:t>
            </w:r>
          </w:p>
        </w:tc>
      </w:tr>
      <w:tr w:rsidR="006C2177" w:rsidRPr="00F035D3" w:rsidTr="005872E2">
        <w:trPr>
          <w:trHeight w:val="272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ראש הממשלה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045103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מערך הגיור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272727"/>
                <w:sz w:val="18"/>
                <w:szCs w:val="18"/>
                <w:rtl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מיזם</w:t>
            </w:r>
            <w:r w:rsidRPr="005872E2">
              <w:rPr>
                <w:rFonts w:ascii="FrankRuehl" w:hAnsi="FrankRuehl"/>
                <w:color w:val="272727"/>
                <w:sz w:val="18"/>
                <w:szCs w:val="18"/>
                <w:rtl/>
              </w:rPr>
              <w:t> לחיזוק הזהות היהודית בתפוצות באמצעות </w:t>
            </w:r>
          </w:p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272727"/>
                <w:sz w:val="18"/>
                <w:szCs w:val="18"/>
                <w:rtl/>
              </w:rPr>
              <w:t>ברור יהדות</w:t>
            </w:r>
          </w:p>
        </w:tc>
      </w:tr>
      <w:tr w:rsidR="006C2177" w:rsidRPr="00F035D3" w:rsidTr="005872E2">
        <w:trPr>
          <w:trHeight w:val="272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ראש הממשלה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045110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פרויקטים והחלטות ממשלה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פרוייקט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סטודנטים</w:t>
            </w:r>
          </w:p>
        </w:tc>
      </w:tr>
      <w:tr w:rsidR="006C2177" w:rsidRPr="00F035D3" w:rsidTr="005872E2">
        <w:trPr>
          <w:trHeight w:val="272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ראש הממשלה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045701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המשרד לשוויון חברתי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17,000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טיפול </w:t>
            </w:r>
            <w:r w:rsidRPr="005872E2">
              <w:rPr>
                <w:rFonts w:ascii="FrankRuehl" w:hAnsi="FrankRuehl" w:hint="eastAsia"/>
                <w:color w:val="000000"/>
                <w:sz w:val="18"/>
                <w:szCs w:val="18"/>
                <w:rtl/>
              </w:rPr>
              <w:t>באוכלוסיות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מגוונות לרבות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להט"ב</w:t>
            </w:r>
            <w:proofErr w:type="spellEnd"/>
          </w:p>
        </w:tc>
      </w:tr>
      <w:tr w:rsidR="006C2177" w:rsidRPr="00F035D3" w:rsidTr="005872E2">
        <w:trPr>
          <w:trHeight w:val="272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ראש הממשלה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046303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פיתוח הנגב והגליל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פרויקטים הרשות לפיתוח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הביטחון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151101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הוצאות ביטחוניות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פעילות חיילים במשרד הביטחון - ישיבות הסדר, פנימייה צבאית אור עציון, בינוי מכינות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הרשויות המקומיות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181102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מענקים אזוריים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19,500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מענק בטחוני למועצות אזוריות ביו"ש,  העברה </w:t>
            </w:r>
            <w:r w:rsidRPr="005872E2">
              <w:rPr>
                <w:rFonts w:ascii="FrankRuehl" w:hAnsi="FrankRuehl" w:hint="eastAsia"/>
                <w:color w:val="000000"/>
                <w:sz w:val="18"/>
                <w:szCs w:val="18"/>
                <w:rtl/>
              </w:rPr>
              <w:t>לוועד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המקומי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מדע, תרבות וספורט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194202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מינהל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התרבות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18,700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תמיכה במוסדות תרבות תורנית, מוסדות תרבות מדע ומחקר, טיפול </w:t>
            </w:r>
            <w:r w:rsidRPr="005872E2">
              <w:rPr>
                <w:rFonts w:ascii="FrankRuehl" w:hAnsi="FrankRuehl" w:hint="eastAsia"/>
                <w:color w:val="000000"/>
                <w:sz w:val="18"/>
                <w:szCs w:val="18"/>
                <w:rtl/>
              </w:rPr>
              <w:t>באוכלוסיות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מגוונות לרבות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להט"ב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, התחדשות יהודית, תמיכה ברבני קהילות, שבת ישראלית</w:t>
            </w:r>
          </w:p>
        </w:tc>
      </w:tr>
      <w:tr w:rsidR="006C2177" w:rsidRPr="00F035D3" w:rsidTr="005872E2">
        <w:trPr>
          <w:trHeight w:val="198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206001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פעילויות מטה מרכזיות 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FrankRuehl" w:hAnsi="FrankRuehl" w:hint="cs"/>
                <w:color w:val="000000"/>
                <w:sz w:val="18"/>
                <w:szCs w:val="18"/>
                <w:rtl/>
              </w:rPr>
              <w:t>הספרייה הלאומית</w:t>
            </w:r>
          </w:p>
        </w:tc>
      </w:tr>
      <w:tr w:rsidR="006C2177" w:rsidRPr="00F035D3" w:rsidTr="005872E2">
        <w:trPr>
          <w:trHeight w:val="198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206302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החינוך העצמאי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חינוך העצמאי פעולות והצטיידות</w:t>
            </w:r>
          </w:p>
        </w:tc>
      </w:tr>
      <w:tr w:rsidR="006C2177" w:rsidRPr="00F035D3" w:rsidTr="005872E2">
        <w:trPr>
          <w:trHeight w:val="29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206303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מעין החינוך התורני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56,000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מעיין החינוך התורני: פעילות למניעת נשירה לנוער בסיכון, סל תקציב, ופעולות רשת המעיין החינוך התורני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206601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המינהל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חינוך התיישבותי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הסעות תלמידי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פנימיה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ביהודה ושומרון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206701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פעילויות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ופרוייקטים</w:t>
            </w:r>
            <w:proofErr w:type="spellEnd"/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82,500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תמיכה </w:t>
            </w:r>
            <w:r w:rsidRPr="005872E2">
              <w:rPr>
                <w:rFonts w:ascii="FrankRuehl" w:hAnsi="FrankRuehl" w:hint="eastAsia"/>
                <w:color w:val="000000"/>
                <w:sz w:val="18"/>
                <w:szCs w:val="18"/>
                <w:rtl/>
              </w:rPr>
              <w:t>בארגוני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נוער, מוזיאונים לשואה, מוסדות ציבור בתחומי הדרכה טבע וסביבה,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תוכנית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לזהירות בדרכים, פעילות התנדבותית למען הקהילה</w:t>
            </w:r>
            <w:r>
              <w:rPr>
                <w:rFonts w:ascii="FrankRuehl" w:hAnsi="FrankRuehl" w:hint="cs"/>
                <w:color w:val="000000"/>
                <w:sz w:val="18"/>
                <w:szCs w:val="18"/>
                <w:rtl/>
              </w:rPr>
              <w:t>,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גרעין חינוכי לאומי</w:t>
            </w:r>
            <w:r>
              <w:rPr>
                <w:rFonts w:ascii="FrankRuehl" w:hAnsi="FrankRuehl" w:hint="cs"/>
                <w:color w:val="000000"/>
                <w:sz w:val="18"/>
                <w:szCs w:val="18"/>
                <w:rtl/>
              </w:rPr>
              <w:t>,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יוזמות חינוכיות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יחודיות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לעיר ירושלים, חוגי סיירות</w:t>
            </w:r>
            <w:r>
              <w:rPr>
                <w:rFonts w:ascii="FrankRuehl" w:hAnsi="FrankRuehl" w:hint="cs"/>
                <w:color w:val="000000"/>
                <w:sz w:val="18"/>
                <w:szCs w:val="18"/>
                <w:rtl/>
              </w:rPr>
              <w:t>, החברה להגנת הטבע</w:t>
            </w:r>
            <w:r>
              <w:rPr>
                <w:rFonts w:ascii="FrankRuehl" w:hAnsi="FrankRuehl" w:hint="cs"/>
                <w:color w:val="000000"/>
                <w:sz w:val="18"/>
                <w:szCs w:val="18"/>
                <w:rtl/>
                <w:lang w:eastAsia="en-US"/>
              </w:rPr>
              <w:t>, מחנכים</w:t>
            </w:r>
          </w:p>
        </w:tc>
      </w:tr>
      <w:tr w:rsidR="006C2177" w:rsidRPr="00F035D3" w:rsidTr="005872E2">
        <w:trPr>
          <w:trHeight w:val="29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206703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מינהל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החינוך הדתי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79,500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תמיכה בפעילות מנהל החינוך הדתי: רבנים במוסדות חינוך, התנדבויות, עידוד שירות ושעות תגבור בגרות ללימודי יהדות, שעות רב, ופעילות בלתי פורמלית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206801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תנאי שירות והכשרת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סמינרים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ופרויקטי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חונכות </w:t>
            </w:r>
            <w:r>
              <w:rPr>
                <w:rFonts w:ascii="FrankRuehl" w:hAnsi="FrankRuehl"/>
                <w:color w:val="000000"/>
                <w:sz w:val="18"/>
                <w:szCs w:val="18"/>
                <w:rtl/>
              </w:rPr>
              <w:t>–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מלגות</w:t>
            </w:r>
            <w:r>
              <w:rPr>
                <w:rFonts w:ascii="FrankRuehl" w:hAnsi="FrankRuehl" w:hint="cs"/>
                <w:color w:val="000000"/>
                <w:sz w:val="18"/>
                <w:szCs w:val="18"/>
                <w:rtl/>
                <w:lang w:eastAsia="en-US"/>
              </w:rPr>
              <w:t>, השמת עובדי הוראה</w:t>
            </w:r>
          </w:p>
        </w:tc>
      </w:tr>
      <w:tr w:rsidR="006C2177" w:rsidRPr="00F035D3" w:rsidTr="005872E2">
        <w:trPr>
          <w:trHeight w:val="496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206901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תרבות יהודית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131,500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תמיכה בתרבות יהודית: פרויקטים </w:t>
            </w:r>
            <w:proofErr w:type="spellStart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יחודיים</w:t>
            </w:r>
            <w:proofErr w:type="spellEnd"/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ברשויות המקומיות, מרכזים להעמקת החינוך היהודי, תמיכה בשיעורי תורה ותרבות יהודית, אורבך, פרסומים פעולות ורכישות,</w:t>
            </w:r>
          </w:p>
        </w:tc>
      </w:tr>
      <w:tr w:rsidR="006C2177" w:rsidRPr="00F035D3" w:rsidTr="005872E2">
        <w:trPr>
          <w:trHeight w:val="39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206902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מוסדות תורניים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296,000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תמיכה במוסדות תורניים, בגופי תיאום וקשר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המשרד לשירותי דת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220102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תמיכה בשירותי דת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56,800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שרותי יעוץ והכוונה הלכתיים בתחום הפוריות, טהרת המשפחה, קשרים עם הגולה, פעולות המנהלת לזהות יהודית, הנצחת רבנים</w:t>
            </w:r>
          </w:p>
        </w:tc>
      </w:tr>
      <w:tr w:rsidR="006C2177" w:rsidRPr="00F035D3" w:rsidTr="005872E2">
        <w:trPr>
          <w:trHeight w:val="39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הבריאות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240709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פעולות מרכזיות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תמיכה </w:t>
            </w:r>
            <w:r w:rsidRPr="005872E2">
              <w:rPr>
                <w:rFonts w:ascii="FrankRuehl" w:hAnsi="FrankRuehl" w:hint="eastAsia"/>
                <w:color w:val="000000"/>
                <w:sz w:val="18"/>
                <w:szCs w:val="18"/>
                <w:rtl/>
              </w:rPr>
              <w:t>באירגוניים</w:t>
            </w: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 xml:space="preserve"> רפואיים אחרים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החקלאות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330102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הוצאות שוטפות לפעילות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פקיד יערות, היחידה המרכזית לאכיפה וחקירות במשרד החקלאות</w:t>
            </w:r>
          </w:p>
        </w:tc>
      </w:tr>
      <w:tr w:rsidR="006C2177" w:rsidRPr="00F035D3" w:rsidTr="005872E2">
        <w:trPr>
          <w:trHeight w:val="29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החקלאות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330602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תמיכות ומחקרים בחקלאות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41,000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פעולות החטיבה להתיישבות, בינוי פנימיות ביהודה ושומרון ותיעוד ההתיישבות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משרד החקלאות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330801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פעולות אחרות באחריות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תמיכה בגרעינים משימתיים</w:t>
            </w:r>
          </w:p>
        </w:tc>
      </w:tr>
      <w:tr w:rsidR="006C2177" w:rsidRPr="00F035D3" w:rsidTr="005872E2">
        <w:trPr>
          <w:trHeight w:val="198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תעסוקה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364201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עידוד תעסוקת אוכלוסיות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תכנית ללימודי מקצוע בסמינרים</w:t>
            </w:r>
          </w:p>
        </w:tc>
      </w:tr>
      <w:tr w:rsidR="006C2177" w:rsidRPr="00F035D3" w:rsidTr="005872E2">
        <w:trPr>
          <w:trHeight w:val="198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תעסוקה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364405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הכשרת נוער - בתי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הכשרות מקצועיות לנוער</w:t>
            </w:r>
          </w:p>
        </w:tc>
      </w:tr>
      <w:tr w:rsidR="006C2177" w:rsidRPr="00F035D3" w:rsidTr="005872E2">
        <w:trPr>
          <w:trHeight w:val="117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חינוך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600601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חידוש מבנים במערכת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77" w:rsidRPr="005872E2" w:rsidRDefault="006C2177" w:rsidP="005872E2">
            <w:pPr>
              <w:bidi w:val="0"/>
              <w:jc w:val="center"/>
              <w:rPr>
                <w:rFonts w:ascii="FrankRuehl" w:hAnsi="FrankRuehl"/>
                <w:color w:val="000000"/>
                <w:sz w:val="18"/>
                <w:szCs w:val="18"/>
                <w:rtl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77" w:rsidRPr="005872E2" w:rsidRDefault="006C2177" w:rsidP="005872E2">
            <w:pPr>
              <w:jc w:val="center"/>
              <w:rPr>
                <w:rFonts w:ascii="FrankRuehl" w:hAnsi="FrankRuehl"/>
                <w:color w:val="000000"/>
                <w:sz w:val="18"/>
                <w:szCs w:val="18"/>
                <w:lang w:eastAsia="en-US"/>
              </w:rPr>
            </w:pPr>
            <w:r w:rsidRPr="005872E2">
              <w:rPr>
                <w:rFonts w:ascii="FrankRuehl" w:hAnsi="FrankRuehl"/>
                <w:color w:val="000000"/>
                <w:sz w:val="18"/>
                <w:szCs w:val="18"/>
                <w:rtl/>
              </w:rPr>
              <w:t>שיפוצים והתאמת מבנים בחינוך העצמאי, שיפוצים והתאמת מבנים במעיין</w:t>
            </w:r>
          </w:p>
        </w:tc>
      </w:tr>
    </w:tbl>
    <w:p w:rsidR="00F975CB" w:rsidRPr="006C2177" w:rsidRDefault="00F975CB" w:rsidP="002D7789">
      <w:pPr>
        <w:rPr>
          <w:rFonts w:hint="cs"/>
          <w:rtl/>
        </w:rPr>
      </w:pPr>
    </w:p>
    <w:sectPr w:rsidR="00F975CB" w:rsidRPr="006C2177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290655"/>
    <w:multiLevelType w:val="hybridMultilevel"/>
    <w:tmpl w:val="E9086A6E"/>
    <w:lvl w:ilvl="0" w:tplc="ECC2899C">
      <w:start w:val="1"/>
      <w:numFmt w:val="decimal"/>
      <w:lvlText w:val="%1."/>
      <w:lvlJc w:val="left"/>
      <w:pPr>
        <w:ind w:left="360" w:hanging="360"/>
      </w:pPr>
    </w:lvl>
    <w:lvl w:ilvl="1" w:tplc="91B44806">
      <w:start w:val="1"/>
      <w:numFmt w:val="lowerLetter"/>
      <w:lvlText w:val="%2."/>
      <w:lvlJc w:val="left"/>
      <w:pPr>
        <w:ind w:left="1080" w:hanging="360"/>
      </w:pPr>
    </w:lvl>
    <w:lvl w:ilvl="2" w:tplc="62D4CAE6" w:tentative="1">
      <w:start w:val="1"/>
      <w:numFmt w:val="lowerRoman"/>
      <w:lvlText w:val="%3."/>
      <w:lvlJc w:val="right"/>
      <w:pPr>
        <w:ind w:left="1800" w:hanging="180"/>
      </w:pPr>
    </w:lvl>
    <w:lvl w:ilvl="3" w:tplc="706A06B4" w:tentative="1">
      <w:start w:val="1"/>
      <w:numFmt w:val="decimal"/>
      <w:lvlText w:val="%4."/>
      <w:lvlJc w:val="left"/>
      <w:pPr>
        <w:ind w:left="2520" w:hanging="360"/>
      </w:pPr>
    </w:lvl>
    <w:lvl w:ilvl="4" w:tplc="AB4647B2" w:tentative="1">
      <w:start w:val="1"/>
      <w:numFmt w:val="lowerLetter"/>
      <w:lvlText w:val="%5."/>
      <w:lvlJc w:val="left"/>
      <w:pPr>
        <w:ind w:left="3240" w:hanging="360"/>
      </w:pPr>
    </w:lvl>
    <w:lvl w:ilvl="5" w:tplc="F800D96A" w:tentative="1">
      <w:start w:val="1"/>
      <w:numFmt w:val="lowerRoman"/>
      <w:lvlText w:val="%6."/>
      <w:lvlJc w:val="right"/>
      <w:pPr>
        <w:ind w:left="3960" w:hanging="180"/>
      </w:pPr>
    </w:lvl>
    <w:lvl w:ilvl="6" w:tplc="79565316" w:tentative="1">
      <w:start w:val="1"/>
      <w:numFmt w:val="decimal"/>
      <w:lvlText w:val="%7."/>
      <w:lvlJc w:val="left"/>
      <w:pPr>
        <w:ind w:left="4680" w:hanging="360"/>
      </w:pPr>
    </w:lvl>
    <w:lvl w:ilvl="7" w:tplc="0096DF86" w:tentative="1">
      <w:start w:val="1"/>
      <w:numFmt w:val="lowerLetter"/>
      <w:lvlText w:val="%8."/>
      <w:lvlJc w:val="left"/>
      <w:pPr>
        <w:ind w:left="5400" w:hanging="360"/>
      </w:pPr>
    </w:lvl>
    <w:lvl w:ilvl="8" w:tplc="D4D6AD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87F5A"/>
    <w:multiLevelType w:val="multilevel"/>
    <w:tmpl w:val="2C7611E6"/>
    <w:styleLink w:val="-0"/>
    <w:lvl w:ilvl="0">
      <w:start w:val="1"/>
      <w:numFmt w:val="decimal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16240D29"/>
    <w:multiLevelType w:val="hybridMultilevel"/>
    <w:tmpl w:val="39723052"/>
    <w:lvl w:ilvl="0" w:tplc="E878D9F8">
      <w:start w:val="1"/>
      <w:numFmt w:val="decimal"/>
      <w:lvlText w:val="%1."/>
      <w:lvlJc w:val="left"/>
      <w:pPr>
        <w:ind w:left="720" w:hanging="360"/>
      </w:pPr>
    </w:lvl>
    <w:lvl w:ilvl="1" w:tplc="BC86008A">
      <w:start w:val="1"/>
      <w:numFmt w:val="lowerLetter"/>
      <w:lvlText w:val="%2."/>
      <w:lvlJc w:val="left"/>
      <w:pPr>
        <w:ind w:left="1440" w:hanging="360"/>
      </w:pPr>
    </w:lvl>
    <w:lvl w:ilvl="2" w:tplc="FAB81280">
      <w:start w:val="1"/>
      <w:numFmt w:val="lowerRoman"/>
      <w:lvlText w:val="%3."/>
      <w:lvlJc w:val="right"/>
      <w:pPr>
        <w:ind w:left="2160" w:hanging="180"/>
      </w:pPr>
    </w:lvl>
    <w:lvl w:ilvl="3" w:tplc="0C0EB2E4" w:tentative="1">
      <w:start w:val="1"/>
      <w:numFmt w:val="decimal"/>
      <w:lvlText w:val="%4."/>
      <w:lvlJc w:val="left"/>
      <w:pPr>
        <w:ind w:left="2880" w:hanging="360"/>
      </w:pPr>
    </w:lvl>
    <w:lvl w:ilvl="4" w:tplc="52D2DB4A" w:tentative="1">
      <w:start w:val="1"/>
      <w:numFmt w:val="lowerLetter"/>
      <w:lvlText w:val="%5."/>
      <w:lvlJc w:val="left"/>
      <w:pPr>
        <w:ind w:left="3600" w:hanging="360"/>
      </w:pPr>
    </w:lvl>
    <w:lvl w:ilvl="5" w:tplc="2AF08924" w:tentative="1">
      <w:start w:val="1"/>
      <w:numFmt w:val="lowerRoman"/>
      <w:lvlText w:val="%6."/>
      <w:lvlJc w:val="right"/>
      <w:pPr>
        <w:ind w:left="4320" w:hanging="180"/>
      </w:pPr>
    </w:lvl>
    <w:lvl w:ilvl="6" w:tplc="B652DF98" w:tentative="1">
      <w:start w:val="1"/>
      <w:numFmt w:val="decimal"/>
      <w:lvlText w:val="%7."/>
      <w:lvlJc w:val="left"/>
      <w:pPr>
        <w:ind w:left="5040" w:hanging="360"/>
      </w:pPr>
    </w:lvl>
    <w:lvl w:ilvl="7" w:tplc="6E702F7C" w:tentative="1">
      <w:start w:val="1"/>
      <w:numFmt w:val="lowerLetter"/>
      <w:lvlText w:val="%8."/>
      <w:lvlJc w:val="left"/>
      <w:pPr>
        <w:ind w:left="5760" w:hanging="360"/>
      </w:pPr>
    </w:lvl>
    <w:lvl w:ilvl="8" w:tplc="F25A2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691"/>
    <w:multiLevelType w:val="hybridMultilevel"/>
    <w:tmpl w:val="32D804D2"/>
    <w:lvl w:ilvl="0" w:tplc="4D18EB26">
      <w:start w:val="1"/>
      <w:numFmt w:val="decimal"/>
      <w:lvlText w:val="%1."/>
      <w:lvlJc w:val="left"/>
      <w:pPr>
        <w:ind w:left="360" w:hanging="360"/>
      </w:pPr>
    </w:lvl>
    <w:lvl w:ilvl="1" w:tplc="B6022062">
      <w:start w:val="1"/>
      <w:numFmt w:val="hebrew1"/>
      <w:lvlText w:val="%2."/>
      <w:lvlJc w:val="center"/>
      <w:pPr>
        <w:ind w:left="1080" w:hanging="360"/>
      </w:pPr>
    </w:lvl>
    <w:lvl w:ilvl="2" w:tplc="AB42A7BC" w:tentative="1">
      <w:start w:val="1"/>
      <w:numFmt w:val="lowerRoman"/>
      <w:lvlText w:val="%3."/>
      <w:lvlJc w:val="right"/>
      <w:pPr>
        <w:ind w:left="1800" w:hanging="180"/>
      </w:pPr>
    </w:lvl>
    <w:lvl w:ilvl="3" w:tplc="519AF6C8" w:tentative="1">
      <w:start w:val="1"/>
      <w:numFmt w:val="decimal"/>
      <w:lvlText w:val="%4."/>
      <w:lvlJc w:val="left"/>
      <w:pPr>
        <w:ind w:left="2520" w:hanging="360"/>
      </w:pPr>
    </w:lvl>
    <w:lvl w:ilvl="4" w:tplc="08A630BC" w:tentative="1">
      <w:start w:val="1"/>
      <w:numFmt w:val="lowerLetter"/>
      <w:lvlText w:val="%5."/>
      <w:lvlJc w:val="left"/>
      <w:pPr>
        <w:ind w:left="3240" w:hanging="360"/>
      </w:pPr>
    </w:lvl>
    <w:lvl w:ilvl="5" w:tplc="0DAA88E8" w:tentative="1">
      <w:start w:val="1"/>
      <w:numFmt w:val="lowerRoman"/>
      <w:lvlText w:val="%6."/>
      <w:lvlJc w:val="right"/>
      <w:pPr>
        <w:ind w:left="3960" w:hanging="180"/>
      </w:pPr>
    </w:lvl>
    <w:lvl w:ilvl="6" w:tplc="B8065FF2" w:tentative="1">
      <w:start w:val="1"/>
      <w:numFmt w:val="decimal"/>
      <w:lvlText w:val="%7."/>
      <w:lvlJc w:val="left"/>
      <w:pPr>
        <w:ind w:left="4680" w:hanging="360"/>
      </w:pPr>
    </w:lvl>
    <w:lvl w:ilvl="7" w:tplc="5978DA6E" w:tentative="1">
      <w:start w:val="1"/>
      <w:numFmt w:val="lowerLetter"/>
      <w:lvlText w:val="%8."/>
      <w:lvlJc w:val="left"/>
      <w:pPr>
        <w:ind w:left="5400" w:hanging="360"/>
      </w:pPr>
    </w:lvl>
    <w:lvl w:ilvl="8" w:tplc="516C2D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90D37"/>
    <w:multiLevelType w:val="multilevel"/>
    <w:tmpl w:val="2C7611E6"/>
    <w:numStyleLink w:val="-0"/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FB"/>
    <w:rsid w:val="000013EE"/>
    <w:rsid w:val="00014182"/>
    <w:rsid w:val="00047C97"/>
    <w:rsid w:val="000520B7"/>
    <w:rsid w:val="000568CE"/>
    <w:rsid w:val="00066383"/>
    <w:rsid w:val="00074D9B"/>
    <w:rsid w:val="00093B9D"/>
    <w:rsid w:val="00095652"/>
    <w:rsid w:val="000C04AE"/>
    <w:rsid w:val="000E0760"/>
    <w:rsid w:val="000E6098"/>
    <w:rsid w:val="000E632C"/>
    <w:rsid w:val="0010326C"/>
    <w:rsid w:val="00130E45"/>
    <w:rsid w:val="001611C6"/>
    <w:rsid w:val="00164B30"/>
    <w:rsid w:val="0018292D"/>
    <w:rsid w:val="001A7C42"/>
    <w:rsid w:val="001C0423"/>
    <w:rsid w:val="001C4F6D"/>
    <w:rsid w:val="001D4E92"/>
    <w:rsid w:val="001D55DD"/>
    <w:rsid w:val="001E548A"/>
    <w:rsid w:val="001F0354"/>
    <w:rsid w:val="00242CBA"/>
    <w:rsid w:val="00275887"/>
    <w:rsid w:val="002A54A3"/>
    <w:rsid w:val="002A7FEA"/>
    <w:rsid w:val="002D7789"/>
    <w:rsid w:val="002E38F4"/>
    <w:rsid w:val="002F197C"/>
    <w:rsid w:val="00325E01"/>
    <w:rsid w:val="00330C97"/>
    <w:rsid w:val="0035058B"/>
    <w:rsid w:val="00361114"/>
    <w:rsid w:val="003840FE"/>
    <w:rsid w:val="00384926"/>
    <w:rsid w:val="00390074"/>
    <w:rsid w:val="00393C6A"/>
    <w:rsid w:val="003A1D7A"/>
    <w:rsid w:val="003A2E6E"/>
    <w:rsid w:val="003C0413"/>
    <w:rsid w:val="003C3A5C"/>
    <w:rsid w:val="003F1396"/>
    <w:rsid w:val="0040055E"/>
    <w:rsid w:val="00423D6A"/>
    <w:rsid w:val="00425FED"/>
    <w:rsid w:val="00426E0E"/>
    <w:rsid w:val="004323EF"/>
    <w:rsid w:val="004410DE"/>
    <w:rsid w:val="0044663B"/>
    <w:rsid w:val="00451F2E"/>
    <w:rsid w:val="004523EB"/>
    <w:rsid w:val="00452D7A"/>
    <w:rsid w:val="00462FFB"/>
    <w:rsid w:val="004B64D4"/>
    <w:rsid w:val="004C0FA3"/>
    <w:rsid w:val="004C127D"/>
    <w:rsid w:val="004C5538"/>
    <w:rsid w:val="004D65A1"/>
    <w:rsid w:val="004D732B"/>
    <w:rsid w:val="004E479D"/>
    <w:rsid w:val="004F3773"/>
    <w:rsid w:val="005028F9"/>
    <w:rsid w:val="005057CF"/>
    <w:rsid w:val="00505D36"/>
    <w:rsid w:val="00515321"/>
    <w:rsid w:val="00515CEE"/>
    <w:rsid w:val="00515E5C"/>
    <w:rsid w:val="00533110"/>
    <w:rsid w:val="00534452"/>
    <w:rsid w:val="005371D8"/>
    <w:rsid w:val="0053749C"/>
    <w:rsid w:val="00556BE2"/>
    <w:rsid w:val="00564F07"/>
    <w:rsid w:val="00594E7B"/>
    <w:rsid w:val="005D42E4"/>
    <w:rsid w:val="005E603B"/>
    <w:rsid w:val="00600BFA"/>
    <w:rsid w:val="00600F1F"/>
    <w:rsid w:val="00602DAD"/>
    <w:rsid w:val="006309B0"/>
    <w:rsid w:val="00635B1D"/>
    <w:rsid w:val="0066664E"/>
    <w:rsid w:val="006773C3"/>
    <w:rsid w:val="00692607"/>
    <w:rsid w:val="00692C69"/>
    <w:rsid w:val="006952CA"/>
    <w:rsid w:val="006A13C9"/>
    <w:rsid w:val="006A2503"/>
    <w:rsid w:val="006A5446"/>
    <w:rsid w:val="006B352E"/>
    <w:rsid w:val="006C2177"/>
    <w:rsid w:val="006C55AF"/>
    <w:rsid w:val="006D0744"/>
    <w:rsid w:val="006D447C"/>
    <w:rsid w:val="006D686D"/>
    <w:rsid w:val="006E5942"/>
    <w:rsid w:val="00706164"/>
    <w:rsid w:val="0070719A"/>
    <w:rsid w:val="00735D55"/>
    <w:rsid w:val="00743847"/>
    <w:rsid w:val="00746E24"/>
    <w:rsid w:val="00751B50"/>
    <w:rsid w:val="00757313"/>
    <w:rsid w:val="00757879"/>
    <w:rsid w:val="007611DA"/>
    <w:rsid w:val="00793E5C"/>
    <w:rsid w:val="007A0277"/>
    <w:rsid w:val="007A373A"/>
    <w:rsid w:val="007A5644"/>
    <w:rsid w:val="007C3F5B"/>
    <w:rsid w:val="007C727A"/>
    <w:rsid w:val="007D0EB2"/>
    <w:rsid w:val="007D4118"/>
    <w:rsid w:val="007E0089"/>
    <w:rsid w:val="007E2692"/>
    <w:rsid w:val="0080160A"/>
    <w:rsid w:val="0082739B"/>
    <w:rsid w:val="00864DB3"/>
    <w:rsid w:val="00867AE5"/>
    <w:rsid w:val="00870D8A"/>
    <w:rsid w:val="008A1940"/>
    <w:rsid w:val="008B39D7"/>
    <w:rsid w:val="008E77BE"/>
    <w:rsid w:val="00900615"/>
    <w:rsid w:val="00905761"/>
    <w:rsid w:val="00910BC9"/>
    <w:rsid w:val="00915C9A"/>
    <w:rsid w:val="00935E81"/>
    <w:rsid w:val="00986444"/>
    <w:rsid w:val="00987841"/>
    <w:rsid w:val="00990A24"/>
    <w:rsid w:val="009A7AFB"/>
    <w:rsid w:val="009B6311"/>
    <w:rsid w:val="009B64FE"/>
    <w:rsid w:val="009E52B5"/>
    <w:rsid w:val="009F7F7A"/>
    <w:rsid w:val="00A15876"/>
    <w:rsid w:val="00A15D5D"/>
    <w:rsid w:val="00A30921"/>
    <w:rsid w:val="00A52DA5"/>
    <w:rsid w:val="00A5751E"/>
    <w:rsid w:val="00A67A4F"/>
    <w:rsid w:val="00A7396A"/>
    <w:rsid w:val="00A73972"/>
    <w:rsid w:val="00A84333"/>
    <w:rsid w:val="00A84658"/>
    <w:rsid w:val="00AA4752"/>
    <w:rsid w:val="00AB5FD0"/>
    <w:rsid w:val="00AC0823"/>
    <w:rsid w:val="00AD0167"/>
    <w:rsid w:val="00AE7C72"/>
    <w:rsid w:val="00AF1C47"/>
    <w:rsid w:val="00B03E2B"/>
    <w:rsid w:val="00B041F7"/>
    <w:rsid w:val="00B26A5B"/>
    <w:rsid w:val="00B311D4"/>
    <w:rsid w:val="00B429D7"/>
    <w:rsid w:val="00B60EE6"/>
    <w:rsid w:val="00B67385"/>
    <w:rsid w:val="00B93390"/>
    <w:rsid w:val="00B93A25"/>
    <w:rsid w:val="00BA019B"/>
    <w:rsid w:val="00BA6B77"/>
    <w:rsid w:val="00BB393A"/>
    <w:rsid w:val="00BD67E7"/>
    <w:rsid w:val="00BF6F93"/>
    <w:rsid w:val="00C01906"/>
    <w:rsid w:val="00C171DC"/>
    <w:rsid w:val="00C27AC8"/>
    <w:rsid w:val="00C37F33"/>
    <w:rsid w:val="00C57B13"/>
    <w:rsid w:val="00C60815"/>
    <w:rsid w:val="00C82387"/>
    <w:rsid w:val="00C84ABA"/>
    <w:rsid w:val="00C91530"/>
    <w:rsid w:val="00CA61AF"/>
    <w:rsid w:val="00CB40A4"/>
    <w:rsid w:val="00CC356E"/>
    <w:rsid w:val="00CD6DB8"/>
    <w:rsid w:val="00CE0517"/>
    <w:rsid w:val="00CF44BB"/>
    <w:rsid w:val="00D06412"/>
    <w:rsid w:val="00D33979"/>
    <w:rsid w:val="00D36F82"/>
    <w:rsid w:val="00D66453"/>
    <w:rsid w:val="00D731DA"/>
    <w:rsid w:val="00D93E81"/>
    <w:rsid w:val="00D969C1"/>
    <w:rsid w:val="00DB39D5"/>
    <w:rsid w:val="00DD1962"/>
    <w:rsid w:val="00DD5320"/>
    <w:rsid w:val="00DE069A"/>
    <w:rsid w:val="00DE7CC8"/>
    <w:rsid w:val="00DF73FF"/>
    <w:rsid w:val="00E41B31"/>
    <w:rsid w:val="00E56588"/>
    <w:rsid w:val="00E61717"/>
    <w:rsid w:val="00E95EEF"/>
    <w:rsid w:val="00EA6729"/>
    <w:rsid w:val="00EC303E"/>
    <w:rsid w:val="00ED4DFF"/>
    <w:rsid w:val="00EF71D7"/>
    <w:rsid w:val="00F00D41"/>
    <w:rsid w:val="00F0592A"/>
    <w:rsid w:val="00F25ABF"/>
    <w:rsid w:val="00F509E4"/>
    <w:rsid w:val="00F52B9A"/>
    <w:rsid w:val="00F73B4E"/>
    <w:rsid w:val="00F74EF7"/>
    <w:rsid w:val="00F80DA7"/>
    <w:rsid w:val="00F94345"/>
    <w:rsid w:val="00F975CB"/>
    <w:rsid w:val="00FA1F99"/>
    <w:rsid w:val="00FC1B0A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3B764"/>
  <w15:chartTrackingRefBased/>
  <w15:docId w15:val="{D0CD343D-6489-474C-8B6F-5D8B7A6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B"/>
    <w:pPr>
      <w:bidi/>
      <w:spacing w:before="0" w:after="0" w:line="240" w:lineRule="auto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aliases w:val=" Char, Char תו תו תו תו תו,Heading 2 תו תו תו תו תו,Heading 2 תו תו תו תו1 תו תו תו תו תו,Heading 2 תו תו תו1 תו תו תו תו תו,Heading 21,Heading 211,Heading 22,Heading 2_0,כותרת 2 תו תו תו,כותרת 2 תו תו תו תו תו,כותרת 2 תו1 תו"/>
    <w:basedOn w:val="a"/>
    <w:next w:val="a"/>
    <w:link w:val="20"/>
    <w:unhideWhenUsed/>
    <w:qFormat/>
    <w:rsid w:val="003A1D7A"/>
    <w:pPr>
      <w:widowControl w:val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aliases w:val=" Char תו, Char תו תו תו תו תו תו,Heading 2 תו תו תו תו תו תו,Heading 2 תו תו תו תו1 תו תו תו תו תו תו,Heading 2 תו תו תו1 תו תו תו תו תו תו,Heading 21 תו,Heading 211 תו,Heading 22 תו,Heading 2_0 תו,כותרת 2 תו תו תו תו,כותרת 2 תו1 תו תו"/>
    <w:basedOn w:val="a0"/>
    <w:link w:val="2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a8">
    <w:name w:val="annotation reference"/>
    <w:basedOn w:val="a0"/>
    <w:uiPriority w:val="99"/>
    <w:semiHidden/>
    <w:unhideWhenUsed/>
    <w:rsid w:val="009878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841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987841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84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987841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987841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987841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3032-ADCD-4565-922A-833BB7C2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87225506</Template>
  <TotalTime>168</TotalTime>
  <Pages>1</Pages>
  <Words>926</Words>
  <Characters>4635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דודי קופל</dc:creator>
  <cp:lastModifiedBy>עידו שוואב</cp:lastModifiedBy>
  <cp:revision>7</cp:revision>
  <cp:lastPrinted>2020-09-08T18:52:00Z</cp:lastPrinted>
  <dcterms:created xsi:type="dcterms:W3CDTF">2020-09-09T17:51:00Z</dcterms:created>
  <dcterms:modified xsi:type="dcterms:W3CDTF">2020-09-09T18:23:00Z</dcterms:modified>
</cp:coreProperties>
</file>