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8C4" w:rsidRDefault="003248C4" w:rsidP="003248C4">
      <w:pPr>
        <w:spacing w:line="276" w:lineRule="auto"/>
        <w:rPr>
          <w:b/>
          <w:bCs/>
          <w:noProof w:val="0"/>
          <w:sz w:val="26"/>
          <w:szCs w:val="26"/>
        </w:rPr>
      </w:pPr>
      <w:bookmarkStart w:id="0" w:name="_GoBack"/>
      <w:bookmarkEnd w:id="0"/>
      <w:r>
        <w:rPr>
          <w:b/>
          <w:bCs/>
          <w:noProof w:val="0"/>
          <w:sz w:val="26"/>
          <w:szCs w:val="26"/>
          <w:rtl/>
        </w:rPr>
        <w:t>לפני יו"ר ועדה, כבוד השופטת בדימוס זיוה הרמן</w:t>
      </w:r>
      <w:r>
        <w:rPr>
          <w:rFonts w:cs="Times New Roman"/>
          <w:noProof w:val="0"/>
          <w:rtl/>
        </w:rPr>
        <w:t xml:space="preserve"> </w:t>
      </w:r>
    </w:p>
    <w:p w:rsidR="003248C4" w:rsidRDefault="003248C4" w:rsidP="003248C4">
      <w:pPr>
        <w:spacing w:line="276" w:lineRule="auto"/>
        <w:rPr>
          <w:b/>
          <w:bCs/>
          <w:noProof w:val="0"/>
          <w:sz w:val="26"/>
          <w:szCs w:val="26"/>
          <w:rtl/>
        </w:rPr>
      </w:pPr>
      <w:r>
        <w:rPr>
          <w:b/>
          <w:bCs/>
          <w:noProof w:val="0"/>
          <w:sz w:val="26"/>
          <w:szCs w:val="26"/>
          <w:rtl/>
        </w:rPr>
        <w:t>חברת ועדה – גב' אסנת חיות, עו"ס</w:t>
      </w:r>
    </w:p>
    <w:p w:rsidR="003248C4" w:rsidRDefault="003248C4" w:rsidP="003248C4">
      <w:pPr>
        <w:spacing w:line="276" w:lineRule="auto"/>
        <w:rPr>
          <w:b/>
          <w:bCs/>
          <w:sz w:val="26"/>
          <w:szCs w:val="26"/>
        </w:rPr>
      </w:pPr>
      <w:r>
        <w:rPr>
          <w:b/>
          <w:bCs/>
          <w:noProof w:val="0"/>
          <w:sz w:val="26"/>
          <w:szCs w:val="26"/>
          <w:rtl/>
        </w:rPr>
        <w:t xml:space="preserve">חברת ועדה – גב' אורית היימן שפירא, קרימינולוגית </w:t>
      </w:r>
    </w:p>
    <w:p w:rsidR="003248C4" w:rsidRDefault="003248C4" w:rsidP="003248C4">
      <w:pPr>
        <w:spacing w:line="276" w:lineRule="auto"/>
        <w:rPr>
          <w:b/>
          <w:bCs/>
          <w:noProof w:val="0"/>
          <w:sz w:val="26"/>
          <w:szCs w:val="26"/>
          <w:rtl/>
        </w:rPr>
      </w:pPr>
      <w:r>
        <w:rPr>
          <w:b/>
          <w:bCs/>
          <w:noProof w:val="0"/>
          <w:sz w:val="26"/>
          <w:szCs w:val="26"/>
          <w:rtl/>
        </w:rPr>
        <w:t xml:space="preserve">נציגת שב"ס – </w:t>
      </w:r>
      <w:proofErr w:type="spellStart"/>
      <w:r>
        <w:rPr>
          <w:b/>
          <w:bCs/>
          <w:noProof w:val="0"/>
          <w:sz w:val="26"/>
          <w:szCs w:val="26"/>
          <w:rtl/>
        </w:rPr>
        <w:t>רס"מ</w:t>
      </w:r>
      <w:proofErr w:type="spellEnd"/>
      <w:r>
        <w:rPr>
          <w:b/>
          <w:bCs/>
          <w:noProof w:val="0"/>
          <w:sz w:val="26"/>
          <w:szCs w:val="26"/>
          <w:rtl/>
        </w:rPr>
        <w:t>, הילה עמרם</w:t>
      </w:r>
    </w:p>
    <w:p w:rsidR="003248C4" w:rsidRDefault="003248C4" w:rsidP="003248C4">
      <w:pPr>
        <w:rPr>
          <w:noProof w:val="0"/>
          <w:rtl/>
        </w:rPr>
      </w:pPr>
      <w:r>
        <w:rPr>
          <w:b/>
          <w:bCs/>
          <w:noProof w:val="0"/>
          <w:sz w:val="26"/>
          <w:szCs w:val="26"/>
          <w:rtl/>
        </w:rPr>
        <w:t>מזכירת הוועדה- גב' צאלה נעמת</w:t>
      </w:r>
      <w:r>
        <w:rPr>
          <w:noProof w:val="0"/>
          <w:rtl/>
        </w:rPr>
        <w:t xml:space="preserve"> </w:t>
      </w:r>
    </w:p>
    <w:p w:rsidR="003248C4" w:rsidRPr="00BF369E" w:rsidRDefault="003248C4" w:rsidP="003248C4">
      <w:pPr>
        <w:rPr>
          <w:noProof w:val="0"/>
          <w:rtl/>
        </w:rPr>
      </w:pPr>
      <w:r w:rsidRPr="00BF369E">
        <w:rPr>
          <w:b/>
          <w:bCs/>
          <w:noProof w:val="0"/>
          <w:rtl/>
        </w:rPr>
        <w:t>מנהלת וועדות שחרורים מחוז מרכז – גב' סימונה גנץ</w:t>
      </w:r>
    </w:p>
    <w:tbl>
      <w:tblPr>
        <w:tblStyle w:val="a3"/>
        <w:bidiVisual/>
        <w:tblW w:w="88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249"/>
        <w:gridCol w:w="5571"/>
      </w:tblGrid>
      <w:tr w:rsidR="003248C4" w:rsidTr="001112C9">
        <w:trPr>
          <w:jc w:val="center"/>
        </w:trPr>
        <w:tc>
          <w:tcPr>
            <w:tcW w:w="3249" w:type="dxa"/>
          </w:tcPr>
          <w:p w:rsidR="003248C4" w:rsidRDefault="003248C4" w:rsidP="001112C9">
            <w:pPr>
              <w:bidi w:val="0"/>
              <w:jc w:val="right"/>
              <w:rPr>
                <w:rFonts w:ascii="Arial" w:hAnsi="Arial"/>
                <w:b/>
                <w:bCs/>
                <w:noProof w:val="0"/>
                <w:sz w:val="26"/>
                <w:szCs w:val="26"/>
              </w:rPr>
            </w:pPr>
          </w:p>
          <w:p w:rsidR="003248C4" w:rsidRDefault="003248C4" w:rsidP="001112C9">
            <w:pPr>
              <w:bidi w:val="0"/>
              <w:jc w:val="right"/>
              <w:rPr>
                <w:rFonts w:ascii="Arial" w:hAnsi="Arial"/>
                <w:b/>
                <w:bCs/>
                <w:noProof w:val="0"/>
                <w:sz w:val="26"/>
                <w:szCs w:val="26"/>
                <w:rtl/>
              </w:rPr>
            </w:pPr>
            <w:r>
              <w:rPr>
                <w:rFonts w:ascii="Arial" w:hAnsi="Arial"/>
                <w:b/>
                <w:bCs/>
                <w:noProof w:val="0"/>
                <w:sz w:val="26"/>
                <w:szCs w:val="26"/>
                <w:rtl/>
              </w:rPr>
              <w:t>מבקשים</w:t>
            </w:r>
          </w:p>
        </w:tc>
        <w:tc>
          <w:tcPr>
            <w:tcW w:w="5571" w:type="dxa"/>
          </w:tcPr>
          <w:p w:rsidR="003248C4" w:rsidRDefault="003248C4" w:rsidP="001112C9">
            <w:pPr>
              <w:rPr>
                <w:rFonts w:ascii="Arial" w:hAnsi="Arial"/>
                <w:b/>
                <w:bCs/>
                <w:noProof w:val="0"/>
                <w:sz w:val="26"/>
                <w:szCs w:val="26"/>
                <w:rtl/>
              </w:rPr>
            </w:pPr>
          </w:p>
          <w:p w:rsidR="003248C4" w:rsidRDefault="003248C4" w:rsidP="001112C9">
            <w:pPr>
              <w:rPr>
                <w:b/>
                <w:bCs/>
                <w:noProof w:val="0"/>
                <w:sz w:val="26"/>
                <w:szCs w:val="26"/>
              </w:rPr>
            </w:pPr>
            <w:r>
              <w:rPr>
                <w:rFonts w:ascii="Arial" w:hAnsi="Arial"/>
                <w:b/>
                <w:bCs/>
                <w:noProof w:val="0"/>
                <w:sz w:val="26"/>
                <w:szCs w:val="26"/>
                <w:rtl/>
              </w:rPr>
              <w:t>נוחי דנקנר (אסיר)</w:t>
            </w:r>
          </w:p>
        </w:tc>
      </w:tr>
      <w:tr w:rsidR="003248C4" w:rsidTr="001112C9">
        <w:trPr>
          <w:jc w:val="center"/>
        </w:trPr>
        <w:tc>
          <w:tcPr>
            <w:tcW w:w="8820" w:type="dxa"/>
            <w:gridSpan w:val="2"/>
          </w:tcPr>
          <w:p w:rsidR="003248C4" w:rsidRDefault="003248C4" w:rsidP="001112C9">
            <w:pPr>
              <w:rPr>
                <w:rFonts w:ascii="Arial" w:hAnsi="Arial"/>
                <w:b/>
                <w:bCs/>
                <w:noProof w:val="0"/>
                <w:sz w:val="26"/>
                <w:szCs w:val="26"/>
                <w:rtl/>
              </w:rPr>
            </w:pPr>
          </w:p>
          <w:p w:rsidR="003248C4" w:rsidRDefault="003248C4" w:rsidP="001112C9">
            <w:pPr>
              <w:jc w:val="center"/>
              <w:rPr>
                <w:rFonts w:ascii="Arial" w:hAnsi="Arial"/>
                <w:b/>
                <w:bCs/>
                <w:noProof w:val="0"/>
                <w:sz w:val="26"/>
                <w:szCs w:val="26"/>
                <w:rtl/>
              </w:rPr>
            </w:pPr>
            <w:r>
              <w:rPr>
                <w:rFonts w:ascii="Arial" w:hAnsi="Arial"/>
                <w:b/>
                <w:bCs/>
                <w:noProof w:val="0"/>
                <w:sz w:val="26"/>
                <w:szCs w:val="26"/>
                <w:rtl/>
              </w:rPr>
              <w:t>נגד</w:t>
            </w:r>
          </w:p>
          <w:p w:rsidR="003248C4" w:rsidRDefault="003248C4" w:rsidP="001112C9">
            <w:pPr>
              <w:rPr>
                <w:rFonts w:ascii="Arial" w:hAnsi="Arial"/>
                <w:b/>
                <w:bCs/>
                <w:noProof w:val="0"/>
                <w:sz w:val="26"/>
                <w:szCs w:val="26"/>
              </w:rPr>
            </w:pPr>
          </w:p>
        </w:tc>
      </w:tr>
      <w:tr w:rsidR="003248C4" w:rsidTr="001112C9">
        <w:trPr>
          <w:jc w:val="center"/>
        </w:trPr>
        <w:tc>
          <w:tcPr>
            <w:tcW w:w="3249" w:type="dxa"/>
          </w:tcPr>
          <w:p w:rsidR="003248C4" w:rsidRDefault="003248C4" w:rsidP="001112C9">
            <w:pPr>
              <w:rPr>
                <w:rFonts w:ascii="Arial" w:hAnsi="Arial"/>
                <w:b/>
                <w:bCs/>
                <w:noProof w:val="0"/>
                <w:sz w:val="26"/>
                <w:szCs w:val="26"/>
                <w:rtl/>
              </w:rPr>
            </w:pPr>
          </w:p>
          <w:p w:rsidR="003248C4" w:rsidRDefault="003248C4" w:rsidP="001112C9">
            <w:pPr>
              <w:rPr>
                <w:rFonts w:ascii="Arial" w:hAnsi="Arial"/>
                <w:b/>
                <w:bCs/>
                <w:noProof w:val="0"/>
                <w:sz w:val="26"/>
                <w:szCs w:val="26"/>
              </w:rPr>
            </w:pPr>
            <w:r>
              <w:rPr>
                <w:rFonts w:ascii="Arial" w:hAnsi="Arial"/>
                <w:b/>
                <w:bCs/>
                <w:noProof w:val="0"/>
                <w:sz w:val="26"/>
                <w:szCs w:val="26"/>
                <w:rtl/>
              </w:rPr>
              <w:t>משיבים</w:t>
            </w:r>
          </w:p>
        </w:tc>
        <w:tc>
          <w:tcPr>
            <w:tcW w:w="5571" w:type="dxa"/>
          </w:tcPr>
          <w:p w:rsidR="003248C4" w:rsidRDefault="003248C4" w:rsidP="001112C9">
            <w:pPr>
              <w:rPr>
                <w:rFonts w:ascii="Arial" w:hAnsi="Arial"/>
                <w:b/>
                <w:bCs/>
                <w:noProof w:val="0"/>
                <w:sz w:val="26"/>
                <w:szCs w:val="26"/>
                <w:rtl/>
              </w:rPr>
            </w:pPr>
          </w:p>
          <w:p w:rsidR="003248C4" w:rsidRDefault="003248C4" w:rsidP="001112C9">
            <w:pPr>
              <w:rPr>
                <w:b/>
                <w:bCs/>
                <w:noProof w:val="0"/>
                <w:sz w:val="26"/>
                <w:szCs w:val="26"/>
                <w:rtl/>
              </w:rPr>
            </w:pPr>
            <w:r>
              <w:rPr>
                <w:rFonts w:ascii="Arial" w:hAnsi="Arial"/>
                <w:b/>
                <w:bCs/>
                <w:noProof w:val="0"/>
                <w:sz w:val="26"/>
                <w:szCs w:val="26"/>
                <w:rtl/>
              </w:rPr>
              <w:t>מדינת ישראל</w:t>
            </w:r>
          </w:p>
        </w:tc>
      </w:tr>
    </w:tbl>
    <w:p w:rsidR="003248C4" w:rsidRDefault="003248C4" w:rsidP="003248C4">
      <w:pPr>
        <w:rPr>
          <w:noProof w:val="0"/>
          <w:rtl/>
        </w:rPr>
      </w:pPr>
    </w:p>
    <w:p w:rsidR="003248C4" w:rsidRDefault="003248C4" w:rsidP="003248C4">
      <w:pPr>
        <w:suppressLineNumbers/>
        <w:rPr>
          <w:noProof w:val="0"/>
          <w:rtl/>
        </w:rPr>
      </w:pPr>
      <w:r>
        <w:rPr>
          <w:noProof w:val="0"/>
          <w:rtl/>
        </w:rPr>
        <w:t>נוכחים:</w:t>
      </w:r>
    </w:p>
    <w:p w:rsidR="003248C4" w:rsidRDefault="003248C4" w:rsidP="003248C4">
      <w:pPr>
        <w:suppressLineNumbers/>
        <w:rPr>
          <w:noProof w:val="0"/>
          <w:rtl/>
        </w:rPr>
      </w:pPr>
      <w:r>
        <w:rPr>
          <w:noProof w:val="0"/>
          <w:rtl/>
        </w:rPr>
        <w:t>ב"כ היועמ"ש עו"ד גבי פאר</w:t>
      </w:r>
    </w:p>
    <w:p w:rsidR="003248C4" w:rsidRDefault="003248C4" w:rsidP="003248C4">
      <w:pPr>
        <w:suppressLineNumbers/>
        <w:rPr>
          <w:noProof w:val="0"/>
          <w:rtl/>
        </w:rPr>
      </w:pPr>
      <w:r>
        <w:rPr>
          <w:noProof w:val="0"/>
          <w:rtl/>
        </w:rPr>
        <w:t xml:space="preserve">ב"כ האסיר עו"ד שני אילוז עו"ד מיכל רוזן עוזר ועו"ד טל </w:t>
      </w:r>
      <w:proofErr w:type="spellStart"/>
      <w:r>
        <w:rPr>
          <w:noProof w:val="0"/>
          <w:rtl/>
        </w:rPr>
        <w:t>אנגלנדר</w:t>
      </w:r>
      <w:proofErr w:type="spellEnd"/>
    </w:p>
    <w:p w:rsidR="003248C4" w:rsidRDefault="003248C4" w:rsidP="003248C4">
      <w:pPr>
        <w:suppressLineNumbers/>
        <w:rPr>
          <w:noProof w:val="0"/>
          <w:rtl/>
        </w:rPr>
      </w:pPr>
      <w:r>
        <w:rPr>
          <w:noProof w:val="0"/>
          <w:rtl/>
        </w:rPr>
        <w:t xml:space="preserve">האסיר בעצמו </w:t>
      </w:r>
    </w:p>
    <w:p w:rsidR="003248C4" w:rsidRDefault="003248C4" w:rsidP="003248C4">
      <w:pPr>
        <w:suppressLineNumbers/>
      </w:pPr>
    </w:p>
    <w:tbl>
      <w:tblPr>
        <w:tblStyle w:val="a3"/>
        <w:bidiVisual/>
        <w:tblW w:w="88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820"/>
      </w:tblGrid>
      <w:tr w:rsidR="003248C4" w:rsidTr="001112C9">
        <w:trPr>
          <w:jc w:val="center"/>
        </w:trPr>
        <w:tc>
          <w:tcPr>
            <w:tcW w:w="8820" w:type="dxa"/>
          </w:tcPr>
          <w:p w:rsidR="003248C4" w:rsidRDefault="003248C4" w:rsidP="001112C9">
            <w:pPr>
              <w:bidi w:val="0"/>
              <w:jc w:val="center"/>
              <w:rPr>
                <w:rFonts w:ascii="Arial" w:hAnsi="Arial"/>
                <w:b/>
                <w:bCs/>
                <w:noProof w:val="0"/>
                <w:sz w:val="28"/>
                <w:szCs w:val="28"/>
                <w:u w:val="single"/>
              </w:rPr>
            </w:pPr>
            <w:r>
              <w:rPr>
                <w:rFonts w:ascii="Arial" w:hAnsi="Arial"/>
                <w:b/>
                <w:bCs/>
                <w:noProof w:val="0"/>
                <w:sz w:val="28"/>
                <w:szCs w:val="28"/>
                <w:u w:val="single"/>
                <w:rtl/>
              </w:rPr>
              <w:t>החלטה</w:t>
            </w:r>
          </w:p>
        </w:tc>
      </w:tr>
    </w:tbl>
    <w:p w:rsidR="003248C4" w:rsidRDefault="003248C4" w:rsidP="003248C4">
      <w:pPr>
        <w:spacing w:line="360" w:lineRule="auto"/>
        <w:jc w:val="both"/>
        <w:rPr>
          <w:rFonts w:ascii="Arial" w:hAnsi="Arial"/>
          <w:noProof w:val="0"/>
          <w:rtl/>
        </w:rPr>
      </w:pPr>
    </w:p>
    <w:p w:rsidR="003248C4" w:rsidRDefault="003248C4" w:rsidP="003248C4">
      <w:pPr>
        <w:spacing w:line="360" w:lineRule="auto"/>
        <w:jc w:val="both"/>
        <w:rPr>
          <w:noProof w:val="0"/>
        </w:rPr>
      </w:pPr>
      <w:bookmarkStart w:id="1" w:name="NGCSBookmark"/>
      <w:bookmarkEnd w:id="1"/>
      <w:r>
        <w:rPr>
          <w:noProof w:val="0"/>
          <w:rtl/>
        </w:rPr>
        <w:t xml:space="preserve">בפנינו בקשה להורות על שחרורו המוקדם של האסיר, ובקצירת העומר נעבור על עיקרי הבקשה והטיעונים אשר נשמעו בפנינו. </w:t>
      </w:r>
    </w:p>
    <w:p w:rsidR="003248C4" w:rsidRDefault="003248C4" w:rsidP="003248C4">
      <w:pPr>
        <w:spacing w:line="360" w:lineRule="auto"/>
        <w:jc w:val="both"/>
        <w:rPr>
          <w:noProof w:val="0"/>
          <w:rtl/>
        </w:rPr>
      </w:pPr>
    </w:p>
    <w:p w:rsidR="003248C4" w:rsidRDefault="003248C4" w:rsidP="003248C4">
      <w:pPr>
        <w:spacing w:line="360" w:lineRule="auto"/>
        <w:jc w:val="both"/>
        <w:rPr>
          <w:noProof w:val="0"/>
          <w:rtl/>
        </w:rPr>
      </w:pPr>
      <w:r>
        <w:rPr>
          <w:noProof w:val="0"/>
          <w:rtl/>
        </w:rPr>
        <w:t xml:space="preserve">ביום 5.12.16 נגזר דינו של האסיר בבימ"ש המחוזי בת"א והוטל עליו עונש מאסר בפועל לתקופה של 24 חודשים, לצד קנס כספי בסך 800,000 ₪. פסק דין זה הגיע לערעור בפני ביהמ"ש העליון וביום 29.8.2018 קיבל ביהמ"ש העליון את ערעור המדינה על גזר הדין של האסיר וקבע כי עונש המאסר בפועל יעמוד על 36 חודשים, מאחר ומצא כי החומרה היתרה בעבירות שבוצעו מחייבת החמרה בעונש. וכך כתב, בין היתר, כבוד השופט ניל הנדל, כי העבירות אותן ביצע האסיר הינן בבחינת </w:t>
      </w:r>
      <w:r>
        <w:rPr>
          <w:b/>
          <w:bCs/>
          <w:noProof w:val="0"/>
          <w:rtl/>
        </w:rPr>
        <w:t xml:space="preserve">"מעשה פלילי המאופיין בתחכום מעין זה אינו זועק "עבירה אני" בנבדל למשל מעבירת שוד מזוין...". </w:t>
      </w:r>
      <w:r>
        <w:rPr>
          <w:noProof w:val="0"/>
          <w:rtl/>
        </w:rPr>
        <w:t xml:space="preserve">והוא מוסיף ומבהיר כי פגיעה במנגנון התמחור של מניות באמצעות עיוות המידע הקיים ע"י משקיעים הינן פגיעה בכל שוק ההון. חומרתן הרבה של העבירות הכלכליות, יסודה במידת התחכום הגלום בביצוען </w:t>
      </w:r>
      <w:r>
        <w:rPr>
          <w:noProof w:val="0"/>
          <w:rtl/>
        </w:rPr>
        <w:lastRenderedPageBreak/>
        <w:t xml:space="preserve">והמורכבות שבחשיפתן, ועיקר העיקרים – מדובר בנזק עצום ורב שהן גורמות למשק הכלכלי ולחברה. מדובר בעבירות המבוצעות ע"י מי שיש לו גישה למוקדי השפעה וכוח ומנצל לרעה את האמון שניתן בו ומנהל את כספם של האחרים תוך ביצוע מעשי עבירה עד כי עבירות אלה שוות בחומרתן לעבירות המבוצעות בכוח הזרוע. אם בכך לא די מדגיש כבוד השופט הנדל: </w:t>
      </w:r>
      <w:r>
        <w:rPr>
          <w:b/>
          <w:bCs/>
          <w:noProof w:val="0"/>
          <w:rtl/>
        </w:rPr>
        <w:t xml:space="preserve">"לאור האמור לעיל ובבחינת נסיבות המקרה שבענייננו – כאשר מדובר... בפרשת תרמית וניירות ערך חריגה בחומרתה, בהיקפה ובמידת פגיעתה בערכים המוגנים, אין בידי להסכים למתחמי הענישה שנקבעו...". </w:t>
      </w:r>
      <w:r>
        <w:rPr>
          <w:noProof w:val="0"/>
          <w:rtl/>
        </w:rPr>
        <w:t xml:space="preserve">לכן הוא הגיע למסקנה כי העונש חייב להיות חמור מזה שנפסק באופן שייתן משקל הולם לשיקולי הרתעת היחיד והרבים. </w:t>
      </w:r>
    </w:p>
    <w:p w:rsidR="003248C4" w:rsidRDefault="003248C4" w:rsidP="003248C4">
      <w:pPr>
        <w:spacing w:line="360" w:lineRule="auto"/>
        <w:jc w:val="both"/>
        <w:rPr>
          <w:b/>
          <w:bCs/>
          <w:noProof w:val="0"/>
          <w:rtl/>
        </w:rPr>
      </w:pPr>
    </w:p>
    <w:p w:rsidR="003248C4" w:rsidRDefault="003248C4" w:rsidP="003248C4">
      <w:pPr>
        <w:spacing w:line="360" w:lineRule="auto"/>
        <w:jc w:val="both"/>
        <w:rPr>
          <w:noProof w:val="0"/>
          <w:rtl/>
        </w:rPr>
      </w:pPr>
      <w:r>
        <w:rPr>
          <w:noProof w:val="0"/>
          <w:rtl/>
        </w:rPr>
        <w:t xml:space="preserve">ביום 13.1.2020 חתם כבוד נשיא  המדינה על חנינה והעמיד את עונש המאסר על 31 חודשים פלוס 7 ימים. היום, כאמור, מוגשת בפנינו בקשה להורות על קיצור עונשו של האסיר במסגרת החוק המאפשר לוועדת שחרורים לקצר את עונש המאסר ולקבוע כי האסיר ירצה תקופה של שני שליש מהעונש שנגזר עליו. </w:t>
      </w:r>
    </w:p>
    <w:p w:rsidR="003248C4" w:rsidRDefault="003248C4" w:rsidP="003248C4">
      <w:pPr>
        <w:spacing w:line="360" w:lineRule="auto"/>
        <w:jc w:val="both"/>
        <w:rPr>
          <w:noProof w:val="0"/>
          <w:rtl/>
        </w:rPr>
      </w:pPr>
    </w:p>
    <w:p w:rsidR="003248C4" w:rsidRDefault="003248C4" w:rsidP="003248C4">
      <w:pPr>
        <w:spacing w:line="360" w:lineRule="auto"/>
        <w:jc w:val="both"/>
        <w:rPr>
          <w:noProof w:val="0"/>
          <w:rtl/>
        </w:rPr>
      </w:pPr>
      <w:r>
        <w:rPr>
          <w:noProof w:val="0"/>
          <w:rtl/>
        </w:rPr>
        <w:t xml:space="preserve">ב"כ המדינה, בטיעונים ארוכים ובהירים, מסכים לבקשה כי נורה על שחרורו המוקדם של האסיר. על מנת לעגן את ההסכמה הוא מציג בפנינו שורה של נימוקים אשר הביאו להחלטה זו, ועל הכתב נעלה את הדברים בסדר שנטענו. ראשית, כך מציג ב"כ היועמ"ש את הדברים, תרומתו של האסיר לחברה, עברו נקי ואף שותפו לעבירות זכה לחנינת נשיא המדינה ולקיצור עונש בוועדת שחרורים. בחודשים האחרונים עבר האסיר תקופה קשה באשר נפתח נגדו תיק חקירה במהלך מאסרו, הוא הועבר מכלא מעשיהו לבית מעצר ניצן, וחופשותיו הופסקו. בסופו של יום, הוחלט כי יש מקום לסגור את תיק החקירה ואין בו כדי להפריע לשחרור מוקדם. סוף דבר, כך קובע ב"כ היועמ"ש, יש מקום לבחון אם התנאים הקבועים בסעיפים 3 ו-9 לחוק שחרור על תנאי ממאסר, תשס"א – 2001 מאפשר היענות לבקשה לשחרור מוקדם ועל כך משיב בחיוב. האסיר משתף פעולה עם גורמי שב"ס, אין לו עבירות משמעת והתנהגותו במהלך המאסר הייתה תקינה וחיובית. בקבוצות הטיפוליות השתתף האסיר בכל המפגשים, הוא השמיע קול דומיננטי והשפיע בצורה חיובית על המשתתפים </w:t>
      </w:r>
      <w:r>
        <w:rPr>
          <w:noProof w:val="0"/>
          <w:rtl/>
        </w:rPr>
        <w:lastRenderedPageBreak/>
        <w:t xml:space="preserve">האחרים להם עזר בהתנהלותו הפתוחה והמשתפת. הוא יוצא לחופשות ועובדה זו מלמדת על רמת האמון ששב"ס נותנים בו. האסיר לוקח אחריות על ביצוע העבירה, שחרורו המוקדם לא יסכן את שלום הציבור והוא יוכל להמשיך את ההליך הטיפולי בו החל בכלא במסגרת </w:t>
      </w:r>
      <w:proofErr w:type="spellStart"/>
      <w:r>
        <w:rPr>
          <w:noProof w:val="0"/>
          <w:rtl/>
        </w:rPr>
        <w:t>רש"א</w:t>
      </w:r>
      <w:proofErr w:type="spellEnd"/>
      <w:r>
        <w:rPr>
          <w:noProof w:val="0"/>
          <w:rtl/>
        </w:rPr>
        <w:t xml:space="preserve">. </w:t>
      </w:r>
    </w:p>
    <w:p w:rsidR="003248C4" w:rsidRDefault="003248C4" w:rsidP="003248C4">
      <w:pPr>
        <w:spacing w:line="360" w:lineRule="auto"/>
        <w:jc w:val="both"/>
        <w:rPr>
          <w:noProof w:val="0"/>
          <w:rtl/>
        </w:rPr>
      </w:pPr>
    </w:p>
    <w:p w:rsidR="003248C4" w:rsidRDefault="003248C4" w:rsidP="003248C4">
      <w:pPr>
        <w:spacing w:line="360" w:lineRule="auto"/>
        <w:jc w:val="both"/>
        <w:rPr>
          <w:noProof w:val="0"/>
          <w:rtl/>
        </w:rPr>
      </w:pPr>
      <w:r>
        <w:rPr>
          <w:noProof w:val="0"/>
          <w:rtl/>
        </w:rPr>
        <w:t xml:space="preserve">ב"כ האסיר מצטרפת לדברי ב"כ היועמ"ש ומדגישה כי האסיר עבר דרך ארוכה ומשמעותית בתהליך טיפולו בכלא, והצליח להרים את נטל השכנוע המזכה אותו בשחרור מוקדם. מצבו הרפואי הינו בכי רע, הוא עומד בפני ניתוח רפואי קשה וברי לה כי האחריות שלקח על עצמו יש בה די. עם שחרורו הוא יטופל ע"י </w:t>
      </w:r>
      <w:proofErr w:type="spellStart"/>
      <w:r>
        <w:rPr>
          <w:noProof w:val="0"/>
          <w:rtl/>
        </w:rPr>
        <w:t>רש"א</w:t>
      </w:r>
      <w:proofErr w:type="spellEnd"/>
      <w:r>
        <w:rPr>
          <w:noProof w:val="0"/>
          <w:rtl/>
        </w:rPr>
        <w:t xml:space="preserve"> גם טיפול פרטני וגם טיפול קבוצתי והוא לוקח על עצמו להתייצב בפני כל גורם טיפולי לו יידרש. </w:t>
      </w:r>
    </w:p>
    <w:p w:rsidR="003248C4" w:rsidRDefault="003248C4" w:rsidP="003248C4">
      <w:pPr>
        <w:spacing w:line="360" w:lineRule="auto"/>
        <w:jc w:val="both"/>
        <w:rPr>
          <w:noProof w:val="0"/>
          <w:rtl/>
        </w:rPr>
      </w:pPr>
    </w:p>
    <w:p w:rsidR="003248C4" w:rsidRDefault="003248C4" w:rsidP="003248C4">
      <w:pPr>
        <w:spacing w:line="360" w:lineRule="auto"/>
        <w:jc w:val="both"/>
        <w:rPr>
          <w:noProof w:val="0"/>
          <w:rtl/>
        </w:rPr>
      </w:pPr>
      <w:r>
        <w:rPr>
          <w:noProof w:val="0"/>
          <w:rtl/>
        </w:rPr>
        <w:t xml:space="preserve">שלא כדרכנו, נעתרנו לבקשה לשמוע את דברי האסיר בפתח הדיון והוא פרש בפנינו את משנתו תוך מתן משקל להליך השינוי שעבר במסגרת הטיפול לו זכה במהלך שהותו בבית הסוהר והוא מודה לרשויות הכליאה על העזרה שהושיטו לו, על הרגישות וההגינות בהתייחסות אליו. לדבריו, היום הוא מבין כי העבירות שביצע היו עבירות חמורות, הוא מתחרט על מעשיו ורואה במהלכיו טעות חמורה ביותר "פעלתי בפזיזות" כך אמר, ובניגוד לדרך בה נהגתי עד אותו יום מר ונמהר. כל חיי הייתי איש שומר חוק, הגון וישר, מאמין בחוק ובבתי המשפט. </w:t>
      </w:r>
    </w:p>
    <w:p w:rsidR="003248C4" w:rsidRDefault="003248C4" w:rsidP="003248C4">
      <w:pPr>
        <w:spacing w:line="360" w:lineRule="auto"/>
        <w:jc w:val="both"/>
        <w:rPr>
          <w:noProof w:val="0"/>
          <w:rtl/>
        </w:rPr>
      </w:pPr>
    </w:p>
    <w:p w:rsidR="003248C4" w:rsidRDefault="003248C4" w:rsidP="003248C4">
      <w:pPr>
        <w:spacing w:line="360" w:lineRule="auto"/>
        <w:jc w:val="both"/>
        <w:rPr>
          <w:noProof w:val="0"/>
          <w:rtl/>
        </w:rPr>
      </w:pPr>
      <w:r>
        <w:rPr>
          <w:noProof w:val="0"/>
          <w:rtl/>
        </w:rPr>
        <w:t xml:space="preserve">לאחר שקראנו את כל החומר שבפנינו ושמענו בהרחבה יתרה את דברי באי כוח הצדדים והאסיר בעצמו, הגענו למסקנה כי עלינו לכבד את אותו מעין הסדר אליו הגיעו הצדדים, המבקשים בצוותא כי נורה על שחרור מוקדם. </w:t>
      </w:r>
    </w:p>
    <w:p w:rsidR="003248C4" w:rsidRDefault="003248C4" w:rsidP="003248C4">
      <w:pPr>
        <w:spacing w:line="360" w:lineRule="auto"/>
        <w:jc w:val="both"/>
        <w:rPr>
          <w:noProof w:val="0"/>
          <w:rtl/>
        </w:rPr>
      </w:pPr>
    </w:p>
    <w:p w:rsidR="003248C4" w:rsidRDefault="003248C4" w:rsidP="003248C4">
      <w:pPr>
        <w:spacing w:line="360" w:lineRule="auto"/>
        <w:jc w:val="both"/>
        <w:rPr>
          <w:noProof w:val="0"/>
          <w:rtl/>
        </w:rPr>
      </w:pPr>
      <w:r>
        <w:rPr>
          <w:noProof w:val="0"/>
          <w:rtl/>
        </w:rPr>
        <w:t xml:space="preserve">בין יתר השיקולים שקלנו את הוראות סעיף 9 לחוק, הגענו למסקנה כי אין בשחרורו של האסיר סכנה לשלום הציבור, התנהגותו החיובית במהלך המאסר, התכנית הטיפולית לה </w:t>
      </w:r>
      <w:r>
        <w:rPr>
          <w:noProof w:val="0"/>
          <w:rtl/>
        </w:rPr>
        <w:lastRenderedPageBreak/>
        <w:t xml:space="preserve">זכה בין כותלי הכלא הייתה ממשית וברת משקל ותכנית </w:t>
      </w:r>
      <w:proofErr w:type="spellStart"/>
      <w:r>
        <w:rPr>
          <w:noProof w:val="0"/>
          <w:rtl/>
        </w:rPr>
        <w:t>רש"א</w:t>
      </w:r>
      <w:proofErr w:type="spellEnd"/>
      <w:r>
        <w:rPr>
          <w:noProof w:val="0"/>
          <w:rtl/>
        </w:rPr>
        <w:t xml:space="preserve"> יש בה כדי להוות המשך טיפול ושיקום. </w:t>
      </w:r>
    </w:p>
    <w:p w:rsidR="003248C4" w:rsidRDefault="003248C4" w:rsidP="003248C4">
      <w:pPr>
        <w:spacing w:line="360" w:lineRule="auto"/>
        <w:jc w:val="both"/>
        <w:rPr>
          <w:noProof w:val="0"/>
          <w:sz w:val="26"/>
          <w:rtl/>
        </w:rPr>
      </w:pPr>
    </w:p>
    <w:p w:rsidR="003248C4" w:rsidRDefault="003248C4" w:rsidP="003248C4">
      <w:pPr>
        <w:spacing w:line="360" w:lineRule="auto"/>
        <w:jc w:val="both"/>
        <w:rPr>
          <w:noProof w:val="0"/>
          <w:sz w:val="26"/>
          <w:rtl/>
        </w:rPr>
      </w:pPr>
      <w:r>
        <w:rPr>
          <w:noProof w:val="0"/>
          <w:sz w:val="26"/>
          <w:rtl/>
        </w:rPr>
        <w:t>אשר על כן, אנו מורים על שחרורו המוקדם של האסיר בתנאים הבאים:</w:t>
      </w:r>
    </w:p>
    <w:p w:rsidR="003248C4" w:rsidRDefault="003248C4" w:rsidP="003248C4">
      <w:pPr>
        <w:spacing w:line="360" w:lineRule="auto"/>
        <w:jc w:val="both"/>
        <w:rPr>
          <w:noProof w:val="0"/>
          <w:sz w:val="26"/>
          <w:rtl/>
        </w:rPr>
      </w:pPr>
    </w:p>
    <w:p w:rsidR="003248C4" w:rsidRDefault="003248C4" w:rsidP="003248C4">
      <w:pPr>
        <w:pStyle w:val="a4"/>
        <w:numPr>
          <w:ilvl w:val="0"/>
          <w:numId w:val="1"/>
        </w:numPr>
        <w:bidi/>
        <w:spacing w:line="360" w:lineRule="auto"/>
        <w:jc w:val="both"/>
        <w:rPr>
          <w:rFonts w:cs="David"/>
          <w:b w:val="0"/>
          <w:bCs w:val="0"/>
          <w:sz w:val="24"/>
          <w:szCs w:val="24"/>
          <w:rtl/>
          <w:lang w:eastAsia="en-US"/>
        </w:rPr>
      </w:pPr>
      <w:r>
        <w:rPr>
          <w:rFonts w:cs="David"/>
          <w:b w:val="0"/>
          <w:bCs w:val="0"/>
          <w:sz w:val="24"/>
          <w:szCs w:val="24"/>
          <w:rtl/>
          <w:lang w:eastAsia="en-US"/>
        </w:rPr>
        <w:t xml:space="preserve">האסיר יקיים את כל תנאי השחרור המפורטים בחוק ובפנקס השחרורים. </w:t>
      </w:r>
    </w:p>
    <w:p w:rsidR="003248C4" w:rsidRDefault="003248C4" w:rsidP="003248C4">
      <w:pPr>
        <w:pStyle w:val="a4"/>
        <w:numPr>
          <w:ilvl w:val="0"/>
          <w:numId w:val="1"/>
        </w:numPr>
        <w:bidi/>
        <w:spacing w:line="360" w:lineRule="auto"/>
        <w:jc w:val="both"/>
        <w:rPr>
          <w:rFonts w:cs="David"/>
          <w:b w:val="0"/>
          <w:bCs w:val="0"/>
          <w:sz w:val="24"/>
          <w:szCs w:val="24"/>
          <w:lang w:eastAsia="en-US"/>
        </w:rPr>
      </w:pPr>
      <w:r>
        <w:rPr>
          <w:rFonts w:cs="David"/>
          <w:b w:val="0"/>
          <w:bCs w:val="0"/>
          <w:sz w:val="24"/>
          <w:szCs w:val="24"/>
          <w:rtl/>
          <w:lang w:eastAsia="en-US"/>
        </w:rPr>
        <w:t xml:space="preserve">האסיר יתייצב במשטרה אחת לשבועיים (בשבוע הראשון והשלישי כל חודש). </w:t>
      </w:r>
    </w:p>
    <w:p w:rsidR="003248C4" w:rsidRDefault="003248C4" w:rsidP="003248C4">
      <w:pPr>
        <w:pStyle w:val="a4"/>
        <w:numPr>
          <w:ilvl w:val="0"/>
          <w:numId w:val="1"/>
        </w:numPr>
        <w:bidi/>
        <w:spacing w:line="360" w:lineRule="auto"/>
        <w:jc w:val="both"/>
        <w:rPr>
          <w:rFonts w:cs="David"/>
          <w:b w:val="0"/>
          <w:bCs w:val="0"/>
          <w:sz w:val="24"/>
          <w:szCs w:val="24"/>
          <w:lang w:eastAsia="en-US"/>
        </w:rPr>
      </w:pPr>
      <w:r>
        <w:rPr>
          <w:rFonts w:cs="David"/>
          <w:b w:val="0"/>
          <w:bCs w:val="0"/>
          <w:sz w:val="24"/>
          <w:szCs w:val="24"/>
          <w:rtl/>
          <w:lang w:eastAsia="en-US"/>
        </w:rPr>
        <w:t xml:space="preserve">האסיר יקיים אחר כל התנאים שנקבעו בתכנית השיקום של </w:t>
      </w:r>
      <w:proofErr w:type="spellStart"/>
      <w:r>
        <w:rPr>
          <w:rFonts w:cs="David"/>
          <w:b w:val="0"/>
          <w:bCs w:val="0"/>
          <w:sz w:val="24"/>
          <w:szCs w:val="24"/>
          <w:rtl/>
          <w:lang w:eastAsia="en-US"/>
        </w:rPr>
        <w:t>רש"א</w:t>
      </w:r>
      <w:proofErr w:type="spellEnd"/>
      <w:r>
        <w:rPr>
          <w:rFonts w:cs="David"/>
          <w:b w:val="0"/>
          <w:bCs w:val="0"/>
          <w:sz w:val="24"/>
          <w:szCs w:val="24"/>
          <w:rtl/>
          <w:lang w:eastAsia="en-US"/>
        </w:rPr>
        <w:t xml:space="preserve"> מיום 22.1.20 ומיום 30.1.20 ככתבם וכלשונם עד לתאריך 8.5.21. ויובהר, היום הונחה על שולחננו הודעה מטעם </w:t>
      </w:r>
      <w:proofErr w:type="spellStart"/>
      <w:r>
        <w:rPr>
          <w:rFonts w:cs="David"/>
          <w:b w:val="0"/>
          <w:bCs w:val="0"/>
          <w:sz w:val="24"/>
          <w:szCs w:val="24"/>
          <w:rtl/>
          <w:lang w:eastAsia="en-US"/>
        </w:rPr>
        <w:t>רש"א</w:t>
      </w:r>
      <w:proofErr w:type="spellEnd"/>
      <w:r>
        <w:rPr>
          <w:rFonts w:cs="David"/>
          <w:b w:val="0"/>
          <w:bCs w:val="0"/>
          <w:sz w:val="24"/>
          <w:szCs w:val="24"/>
          <w:rtl/>
          <w:lang w:eastAsia="en-US"/>
        </w:rPr>
        <w:t xml:space="preserve"> שכותרתה "הבהרה לתכנית השיקום". </w:t>
      </w:r>
      <w:proofErr w:type="spellStart"/>
      <w:r>
        <w:rPr>
          <w:rFonts w:cs="David"/>
          <w:b w:val="0"/>
          <w:bCs w:val="0"/>
          <w:sz w:val="24"/>
          <w:szCs w:val="24"/>
          <w:rtl/>
          <w:lang w:eastAsia="en-US"/>
        </w:rPr>
        <w:t>רש"א</w:t>
      </w:r>
      <w:proofErr w:type="spellEnd"/>
      <w:r>
        <w:rPr>
          <w:rFonts w:cs="David"/>
          <w:b w:val="0"/>
          <w:bCs w:val="0"/>
          <w:sz w:val="24"/>
          <w:szCs w:val="24"/>
          <w:rtl/>
          <w:lang w:eastAsia="en-US"/>
        </w:rPr>
        <w:t xml:space="preserve"> תדאג להודיע לוועדה פרטים בדבר  המועדים להשתתפותו של האסיר בקבוצה בתחום הטיפולי במרמה. הוועדה קובעת בזאת, כי ההשתתפות בפגישה הראשונה תהיה תוך 7 ימים מיום שחרורו.</w:t>
      </w:r>
    </w:p>
    <w:p w:rsidR="003248C4" w:rsidRDefault="003248C4" w:rsidP="003248C4">
      <w:pPr>
        <w:pStyle w:val="a4"/>
        <w:numPr>
          <w:ilvl w:val="0"/>
          <w:numId w:val="1"/>
        </w:numPr>
        <w:bidi/>
        <w:spacing w:line="360" w:lineRule="auto"/>
        <w:jc w:val="both"/>
        <w:rPr>
          <w:rFonts w:cs="David"/>
          <w:b w:val="0"/>
          <w:bCs w:val="0"/>
          <w:sz w:val="24"/>
          <w:szCs w:val="24"/>
          <w:lang w:eastAsia="en-US"/>
        </w:rPr>
      </w:pPr>
      <w:r>
        <w:rPr>
          <w:rFonts w:cs="David"/>
          <w:b w:val="0"/>
          <w:bCs w:val="0"/>
          <w:sz w:val="24"/>
          <w:szCs w:val="24"/>
          <w:rtl/>
          <w:lang w:eastAsia="en-US"/>
        </w:rPr>
        <w:t xml:space="preserve">האסיר יתנדב באגודת "עזרה למרפא" אחת לשבוע. </w:t>
      </w:r>
    </w:p>
    <w:p w:rsidR="003248C4" w:rsidRDefault="003248C4" w:rsidP="003248C4">
      <w:pPr>
        <w:pStyle w:val="a4"/>
        <w:numPr>
          <w:ilvl w:val="0"/>
          <w:numId w:val="1"/>
        </w:numPr>
        <w:bidi/>
        <w:spacing w:line="360" w:lineRule="auto"/>
        <w:jc w:val="both"/>
        <w:rPr>
          <w:rFonts w:cs="David"/>
          <w:b w:val="0"/>
          <w:bCs w:val="0"/>
          <w:sz w:val="24"/>
          <w:szCs w:val="24"/>
          <w:lang w:eastAsia="en-US"/>
        </w:rPr>
      </w:pPr>
      <w:r>
        <w:rPr>
          <w:rFonts w:cs="David"/>
          <w:b w:val="0"/>
          <w:bCs w:val="0"/>
          <w:sz w:val="24"/>
          <w:szCs w:val="24"/>
          <w:rtl/>
          <w:lang w:eastAsia="en-US"/>
        </w:rPr>
        <w:t xml:space="preserve">האסיר ישהה במעצר בית בביתו בכל יום החל מהשעה 22:00 עד השעה  06:00 למחרת. </w:t>
      </w:r>
    </w:p>
    <w:p w:rsidR="003248C4" w:rsidRDefault="003248C4" w:rsidP="003248C4">
      <w:pPr>
        <w:pStyle w:val="a4"/>
        <w:numPr>
          <w:ilvl w:val="0"/>
          <w:numId w:val="1"/>
        </w:numPr>
        <w:bidi/>
        <w:spacing w:line="360" w:lineRule="auto"/>
        <w:jc w:val="both"/>
        <w:rPr>
          <w:rFonts w:cs="David"/>
          <w:b w:val="0"/>
          <w:bCs w:val="0"/>
          <w:sz w:val="24"/>
          <w:szCs w:val="24"/>
          <w:lang w:eastAsia="en-US"/>
        </w:rPr>
      </w:pPr>
      <w:r>
        <w:rPr>
          <w:rFonts w:cs="David"/>
          <w:b w:val="0"/>
          <w:bCs w:val="0"/>
          <w:sz w:val="24"/>
          <w:szCs w:val="24"/>
          <w:rtl/>
          <w:lang w:eastAsia="en-US"/>
        </w:rPr>
        <w:t>נקבע מועד לביקורת ביום 25.2.2020 האסיר יתייצב בשעה 08:30 ברחוב הטחנה 5, בימ"ש השלום כפר סבא. במועד זה יציג האסיר את פנקס האסיר ותלושי המשכורת.</w:t>
      </w:r>
    </w:p>
    <w:p w:rsidR="003248C4" w:rsidRDefault="003248C4" w:rsidP="003248C4">
      <w:pPr>
        <w:pStyle w:val="a4"/>
        <w:numPr>
          <w:ilvl w:val="0"/>
          <w:numId w:val="1"/>
        </w:numPr>
        <w:bidi/>
        <w:spacing w:line="360" w:lineRule="auto"/>
        <w:jc w:val="both"/>
        <w:rPr>
          <w:rFonts w:cs="David"/>
          <w:b w:val="0"/>
          <w:bCs w:val="0"/>
          <w:sz w:val="24"/>
          <w:szCs w:val="24"/>
          <w:lang w:eastAsia="en-US"/>
        </w:rPr>
      </w:pPr>
      <w:r>
        <w:rPr>
          <w:rFonts w:cs="David"/>
          <w:b w:val="0"/>
          <w:bCs w:val="0"/>
          <w:sz w:val="24"/>
          <w:szCs w:val="24"/>
          <w:rtl/>
          <w:lang w:eastAsia="en-US"/>
        </w:rPr>
        <w:t xml:space="preserve">לקראת התייצבותו של האסיר לביקורת, תציג </w:t>
      </w:r>
      <w:proofErr w:type="spellStart"/>
      <w:r>
        <w:rPr>
          <w:rFonts w:cs="David"/>
          <w:b w:val="0"/>
          <w:bCs w:val="0"/>
          <w:sz w:val="24"/>
          <w:szCs w:val="24"/>
          <w:rtl/>
          <w:lang w:eastAsia="en-US"/>
        </w:rPr>
        <w:t>רש"א</w:t>
      </w:r>
      <w:proofErr w:type="spellEnd"/>
      <w:r>
        <w:rPr>
          <w:rFonts w:cs="David"/>
          <w:b w:val="0"/>
          <w:bCs w:val="0"/>
          <w:sz w:val="24"/>
          <w:szCs w:val="24"/>
          <w:rtl/>
          <w:lang w:eastAsia="en-US"/>
        </w:rPr>
        <w:t xml:space="preserve"> לוועדה דיווח מקיף ומפורט אודות האסיר. הדו"ח יוגש למזכירות הוועדה עד שלושה שבועות לפני מועד דיון הביקורת האמור.  </w:t>
      </w:r>
      <w:r>
        <w:rPr>
          <w:rFonts w:cs="David"/>
          <w:sz w:val="24"/>
          <w:szCs w:val="24"/>
          <w:rtl/>
          <w:lang w:eastAsia="en-US"/>
        </w:rPr>
        <w:t xml:space="preserve">המזכירות תעביר העתק מהחלטה זו </w:t>
      </w:r>
      <w:proofErr w:type="spellStart"/>
      <w:r>
        <w:rPr>
          <w:rFonts w:cs="David"/>
          <w:sz w:val="24"/>
          <w:szCs w:val="24"/>
          <w:rtl/>
          <w:lang w:eastAsia="en-US"/>
        </w:rPr>
        <w:t>לרש"א</w:t>
      </w:r>
      <w:proofErr w:type="spellEnd"/>
      <w:r>
        <w:rPr>
          <w:rFonts w:cs="David"/>
          <w:b w:val="0"/>
          <w:bCs w:val="0"/>
          <w:sz w:val="24"/>
          <w:szCs w:val="24"/>
          <w:rtl/>
          <w:lang w:eastAsia="en-US"/>
        </w:rPr>
        <w:t>.</w:t>
      </w:r>
    </w:p>
    <w:p w:rsidR="003248C4" w:rsidRDefault="003248C4" w:rsidP="003248C4">
      <w:pPr>
        <w:pStyle w:val="a4"/>
        <w:numPr>
          <w:ilvl w:val="0"/>
          <w:numId w:val="1"/>
        </w:numPr>
        <w:bidi/>
        <w:spacing w:line="360" w:lineRule="auto"/>
        <w:jc w:val="both"/>
        <w:rPr>
          <w:rFonts w:cs="David"/>
          <w:b w:val="0"/>
          <w:bCs w:val="0"/>
          <w:sz w:val="24"/>
          <w:szCs w:val="24"/>
          <w:lang w:eastAsia="en-US"/>
        </w:rPr>
      </w:pPr>
      <w:r>
        <w:rPr>
          <w:rFonts w:cs="David"/>
          <w:b w:val="0"/>
          <w:bCs w:val="0"/>
          <w:sz w:val="24"/>
          <w:szCs w:val="24"/>
          <w:rtl/>
          <w:lang w:eastAsia="en-US"/>
        </w:rPr>
        <w:t xml:space="preserve">האסיר מוזהר שאם יפר תנאי מתנאי השחרור, עלול הוא למצוא עצמו בפני בקשה להפקעת שחרורו המוקדם. מובהר לאסיר כי אין לשנות תנאי מתנאי השחרור ללא אישור וועדת השחרורים. כל בקשה לשינוי תוגש באמצעות </w:t>
      </w:r>
      <w:proofErr w:type="spellStart"/>
      <w:r>
        <w:rPr>
          <w:rFonts w:cs="David"/>
          <w:b w:val="0"/>
          <w:bCs w:val="0"/>
          <w:sz w:val="24"/>
          <w:szCs w:val="24"/>
          <w:rtl/>
          <w:lang w:eastAsia="en-US"/>
        </w:rPr>
        <w:t>רש"א</w:t>
      </w:r>
      <w:proofErr w:type="spellEnd"/>
      <w:r>
        <w:rPr>
          <w:rFonts w:cs="David"/>
          <w:b w:val="0"/>
          <w:bCs w:val="0"/>
          <w:sz w:val="24"/>
          <w:szCs w:val="24"/>
          <w:rtl/>
          <w:lang w:eastAsia="en-US"/>
        </w:rPr>
        <w:t>/   הגורם המפקח.</w:t>
      </w:r>
    </w:p>
    <w:p w:rsidR="003248C4" w:rsidRDefault="003248C4" w:rsidP="003248C4">
      <w:pPr>
        <w:pStyle w:val="a4"/>
        <w:numPr>
          <w:ilvl w:val="0"/>
          <w:numId w:val="1"/>
        </w:numPr>
        <w:bidi/>
        <w:spacing w:line="360" w:lineRule="auto"/>
        <w:jc w:val="both"/>
        <w:rPr>
          <w:rFonts w:cs="David"/>
          <w:sz w:val="24"/>
          <w:szCs w:val="24"/>
          <w:lang w:eastAsia="en-US"/>
        </w:rPr>
      </w:pPr>
      <w:r>
        <w:rPr>
          <w:rFonts w:cs="David"/>
          <w:b w:val="0"/>
          <w:bCs w:val="0"/>
          <w:sz w:val="24"/>
          <w:szCs w:val="24"/>
          <w:rtl/>
          <w:lang w:eastAsia="en-US"/>
        </w:rPr>
        <w:lastRenderedPageBreak/>
        <w:t xml:space="preserve">האסיר הסכים לפרסום ההחלטה במאגרים המשפטיים. </w:t>
      </w:r>
      <w:r>
        <w:rPr>
          <w:rFonts w:cs="David"/>
          <w:sz w:val="24"/>
          <w:szCs w:val="24"/>
          <w:rtl/>
          <w:lang w:eastAsia="en-US"/>
        </w:rPr>
        <w:t xml:space="preserve">מוטל בזאת חיסיון מלא על כל הפרטים הנוגעים למידע שהוגש לעיון הוועדה והוועדה חסתה אותו עפ"י הוראות סעיף 17 לחוק. </w:t>
      </w:r>
    </w:p>
    <w:p w:rsidR="003248C4" w:rsidRDefault="003248C4" w:rsidP="003248C4">
      <w:pPr>
        <w:pStyle w:val="a4"/>
        <w:numPr>
          <w:ilvl w:val="0"/>
          <w:numId w:val="1"/>
        </w:numPr>
        <w:bidi/>
        <w:spacing w:line="360" w:lineRule="auto"/>
        <w:jc w:val="both"/>
        <w:rPr>
          <w:rFonts w:cs="David"/>
          <w:sz w:val="24"/>
          <w:szCs w:val="24"/>
          <w:lang w:eastAsia="en-US"/>
        </w:rPr>
      </w:pPr>
      <w:r>
        <w:rPr>
          <w:rFonts w:cs="David"/>
          <w:sz w:val="24"/>
          <w:szCs w:val="24"/>
          <w:rtl/>
          <w:lang w:eastAsia="en-US"/>
        </w:rPr>
        <w:t>מוצא בזאת צו עיכוב יציאה מן הארץ עד לתום תקופת התנאי (8.5.21) לפי ס' 13 (ד) (4) לחוק</w:t>
      </w:r>
    </w:p>
    <w:p w:rsidR="003248C4" w:rsidRDefault="003248C4" w:rsidP="003248C4">
      <w:pPr>
        <w:pStyle w:val="a4"/>
        <w:bidi/>
        <w:spacing w:line="360" w:lineRule="auto"/>
        <w:ind w:left="360"/>
        <w:jc w:val="both"/>
        <w:rPr>
          <w:rFonts w:cs="David"/>
          <w:b w:val="0"/>
          <w:bCs w:val="0"/>
          <w:sz w:val="24"/>
          <w:szCs w:val="24"/>
          <w:lang w:eastAsia="en-US"/>
        </w:rPr>
      </w:pPr>
      <w:r>
        <w:rPr>
          <w:rFonts w:cs="David"/>
          <w:b w:val="0"/>
          <w:bCs w:val="0"/>
          <w:sz w:val="24"/>
          <w:szCs w:val="24"/>
          <w:rtl/>
          <w:lang w:eastAsia="en-US"/>
        </w:rPr>
        <w:t xml:space="preserve">12. הוועדה מאחלת לאסיר בהצלחה. </w:t>
      </w:r>
    </w:p>
    <w:p w:rsidR="003248C4" w:rsidRDefault="003248C4" w:rsidP="003248C4">
      <w:pPr>
        <w:spacing w:line="360" w:lineRule="auto"/>
        <w:jc w:val="both"/>
      </w:pPr>
    </w:p>
    <w:p w:rsidR="003248C4" w:rsidRDefault="003248C4" w:rsidP="003248C4">
      <w:pPr>
        <w:spacing w:line="360" w:lineRule="auto"/>
        <w:jc w:val="both"/>
        <w:rPr>
          <w:noProof w:val="0"/>
          <w:sz w:val="6"/>
          <w:szCs w:val="6"/>
          <w:rtl/>
        </w:rPr>
      </w:pPr>
      <w:r>
        <w:rPr>
          <w:noProof w:val="0"/>
          <w:sz w:val="6"/>
          <w:szCs w:val="6"/>
          <w:rtl/>
        </w:rPr>
        <w:t>&lt;#7#&gt;</w:t>
      </w:r>
    </w:p>
    <w:p w:rsidR="003248C4" w:rsidRDefault="003248C4" w:rsidP="003248C4">
      <w:pPr>
        <w:rPr>
          <w:noProof w:val="0"/>
          <w:rtl/>
        </w:rPr>
      </w:pPr>
    </w:p>
    <w:p w:rsidR="003248C4" w:rsidRDefault="003248C4" w:rsidP="003248C4">
      <w:pPr>
        <w:spacing w:line="360" w:lineRule="auto"/>
        <w:rPr>
          <w:noProof w:val="0"/>
          <w:rtl/>
        </w:rPr>
      </w:pPr>
      <w:r>
        <w:rPr>
          <w:b/>
          <w:bCs/>
          <w:noProof w:val="0"/>
          <w:rtl/>
        </w:rPr>
        <w:t xml:space="preserve">ניתנה והודעה היום ד' שבט תש"פ, </w:t>
      </w:r>
      <w:r>
        <w:rPr>
          <w:b/>
          <w:bCs/>
        </w:rPr>
        <w:t>30/01/2020</w:t>
      </w:r>
      <w:r>
        <w:rPr>
          <w:b/>
          <w:bCs/>
          <w:noProof w:val="0"/>
          <w:rtl/>
        </w:rPr>
        <w:t xml:space="preserve"> במעמד הנוכחים.</w:t>
      </w:r>
    </w:p>
    <w:tbl>
      <w:tblPr>
        <w:bidiVisual/>
        <w:tblW w:w="8850" w:type="dxa"/>
        <w:tblInd w:w="-857" w:type="dxa"/>
        <w:tblCellMar>
          <w:left w:w="0" w:type="dxa"/>
          <w:right w:w="0" w:type="dxa"/>
        </w:tblCellMar>
        <w:tblLook w:val="04A0" w:firstRow="1" w:lastRow="0" w:firstColumn="1" w:lastColumn="0" w:noHBand="0" w:noVBand="1"/>
      </w:tblPr>
      <w:tblGrid>
        <w:gridCol w:w="2655"/>
        <w:gridCol w:w="325"/>
        <w:gridCol w:w="2589"/>
        <w:gridCol w:w="275"/>
        <w:gridCol w:w="3006"/>
      </w:tblGrid>
      <w:tr w:rsidR="003248C4" w:rsidTr="001112C9">
        <w:trPr>
          <w:trHeight w:val="1276"/>
        </w:trPr>
        <w:tc>
          <w:tcPr>
            <w:tcW w:w="2834" w:type="dxa"/>
            <w:tcBorders>
              <w:top w:val="nil"/>
              <w:left w:val="nil"/>
              <w:bottom w:val="single" w:sz="8" w:space="0" w:color="auto"/>
              <w:right w:val="nil"/>
            </w:tcBorders>
            <w:tcMar>
              <w:top w:w="0" w:type="dxa"/>
              <w:left w:w="108" w:type="dxa"/>
              <w:bottom w:w="0" w:type="dxa"/>
              <w:right w:w="108" w:type="dxa"/>
            </w:tcMar>
            <w:vAlign w:val="center"/>
            <w:hideMark/>
          </w:tcPr>
          <w:p w:rsidR="003248C4" w:rsidRDefault="003248C4" w:rsidP="001112C9">
            <w:pPr>
              <w:jc w:val="center"/>
              <w:rPr>
                <w:b/>
                <w:bCs/>
                <w:noProof w:val="0"/>
                <w:rtl/>
              </w:rPr>
            </w:pPr>
            <w:r>
              <w:drawing>
                <wp:inline distT="0" distB="0" distL="0" distR="0">
                  <wp:extent cx="828675" cy="1000125"/>
                  <wp:effectExtent l="0" t="0" r="9525" b="9525"/>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8675" cy="1000125"/>
                          </a:xfrm>
                          <a:prstGeom prst="rect">
                            <a:avLst/>
                          </a:prstGeom>
                          <a:noFill/>
                          <a:ln>
                            <a:noFill/>
                          </a:ln>
                        </pic:spPr>
                      </pic:pic>
                    </a:graphicData>
                  </a:graphic>
                </wp:inline>
              </w:drawing>
            </w:r>
          </w:p>
        </w:tc>
        <w:tc>
          <w:tcPr>
            <w:tcW w:w="341" w:type="dxa"/>
            <w:tcBorders>
              <w:top w:val="nil"/>
              <w:left w:val="nil"/>
              <w:bottom w:val="single" w:sz="8" w:space="0" w:color="auto"/>
              <w:right w:val="nil"/>
            </w:tcBorders>
            <w:tcMar>
              <w:top w:w="0" w:type="dxa"/>
              <w:left w:w="108" w:type="dxa"/>
              <w:bottom w:w="0" w:type="dxa"/>
              <w:right w:w="108" w:type="dxa"/>
            </w:tcMar>
            <w:vAlign w:val="bottom"/>
          </w:tcPr>
          <w:p w:rsidR="003248C4" w:rsidRDefault="003248C4" w:rsidP="001112C9">
            <w:pPr>
              <w:jc w:val="center"/>
            </w:pPr>
          </w:p>
        </w:tc>
        <w:tc>
          <w:tcPr>
            <w:tcW w:w="2694" w:type="dxa"/>
            <w:tcBorders>
              <w:top w:val="nil"/>
              <w:left w:val="nil"/>
              <w:bottom w:val="single" w:sz="8" w:space="0" w:color="auto"/>
              <w:right w:val="nil"/>
            </w:tcBorders>
            <w:tcMar>
              <w:top w:w="0" w:type="dxa"/>
              <w:left w:w="108" w:type="dxa"/>
              <w:bottom w:w="0" w:type="dxa"/>
              <w:right w:w="108" w:type="dxa"/>
            </w:tcMar>
            <w:hideMark/>
          </w:tcPr>
          <w:p w:rsidR="003248C4" w:rsidRDefault="003248C4" w:rsidP="001112C9">
            <w:pPr>
              <w:jc w:val="center"/>
            </w:pPr>
            <w:r>
              <w:drawing>
                <wp:inline distT="0" distB="0" distL="0" distR="0">
                  <wp:extent cx="1085850" cy="990600"/>
                  <wp:effectExtent l="0" t="0" r="0" b="0"/>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85850" cy="990600"/>
                          </a:xfrm>
                          <a:prstGeom prst="rect">
                            <a:avLst/>
                          </a:prstGeom>
                          <a:noFill/>
                          <a:ln>
                            <a:noFill/>
                          </a:ln>
                        </pic:spPr>
                      </pic:pic>
                    </a:graphicData>
                  </a:graphic>
                </wp:inline>
              </w:drawing>
            </w:r>
          </w:p>
        </w:tc>
        <w:tc>
          <w:tcPr>
            <w:tcW w:w="283" w:type="dxa"/>
            <w:tcBorders>
              <w:top w:val="nil"/>
              <w:left w:val="nil"/>
              <w:bottom w:val="single" w:sz="8" w:space="0" w:color="auto"/>
              <w:right w:val="nil"/>
            </w:tcBorders>
            <w:tcMar>
              <w:top w:w="0" w:type="dxa"/>
              <w:left w:w="108" w:type="dxa"/>
              <w:bottom w:w="0" w:type="dxa"/>
              <w:right w:w="108" w:type="dxa"/>
            </w:tcMar>
            <w:vAlign w:val="bottom"/>
          </w:tcPr>
          <w:p w:rsidR="003248C4" w:rsidRDefault="003248C4" w:rsidP="001112C9">
            <w:pPr>
              <w:jc w:val="center"/>
              <w:rPr>
                <w:rFonts w:ascii="Courier New" w:hAnsi="Courier New" w:cs="Courier New"/>
                <w:b/>
                <w:bCs/>
                <w:noProof w:val="0"/>
                <w:rtl/>
                <w:lang w:eastAsia="he-IL"/>
              </w:rPr>
            </w:pPr>
          </w:p>
        </w:tc>
        <w:tc>
          <w:tcPr>
            <w:tcW w:w="2693" w:type="dxa"/>
            <w:tcBorders>
              <w:top w:val="nil"/>
              <w:left w:val="nil"/>
              <w:bottom w:val="single" w:sz="8" w:space="0" w:color="auto"/>
              <w:right w:val="nil"/>
            </w:tcBorders>
            <w:tcMar>
              <w:top w:w="0" w:type="dxa"/>
              <w:left w:w="108" w:type="dxa"/>
              <w:bottom w:w="0" w:type="dxa"/>
              <w:right w:w="108" w:type="dxa"/>
            </w:tcMar>
            <w:vAlign w:val="bottom"/>
            <w:hideMark/>
          </w:tcPr>
          <w:p w:rsidR="003248C4" w:rsidRDefault="003248C4" w:rsidP="001112C9">
            <w:pPr>
              <w:jc w:val="center"/>
              <w:rPr>
                <w:rFonts w:ascii="David" w:hAnsi="David"/>
                <w:noProof w:val="0"/>
                <w:rtl/>
              </w:rPr>
            </w:pPr>
            <w:r>
              <w:drawing>
                <wp:inline distT="0" distB="0" distL="0" distR="0">
                  <wp:extent cx="1762125" cy="685800"/>
                  <wp:effectExtent l="0" t="0" r="9525" b="0"/>
                  <wp:docPr id="1" name="תמונה 1" descr="055938823 אסנת חיו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 descr="055938823 אסנת חיות"/>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2125" cy="685800"/>
                          </a:xfrm>
                          <a:prstGeom prst="rect">
                            <a:avLst/>
                          </a:prstGeom>
                          <a:noFill/>
                          <a:ln>
                            <a:noFill/>
                          </a:ln>
                        </pic:spPr>
                      </pic:pic>
                    </a:graphicData>
                  </a:graphic>
                </wp:inline>
              </w:drawing>
            </w:r>
          </w:p>
        </w:tc>
      </w:tr>
      <w:tr w:rsidR="003248C4" w:rsidTr="001112C9">
        <w:tc>
          <w:tcPr>
            <w:tcW w:w="2834" w:type="dxa"/>
            <w:tcBorders>
              <w:top w:val="nil"/>
              <w:left w:val="nil"/>
              <w:bottom w:val="single" w:sz="8" w:space="0" w:color="auto"/>
              <w:right w:val="nil"/>
            </w:tcBorders>
            <w:tcMar>
              <w:top w:w="0" w:type="dxa"/>
              <w:left w:w="108" w:type="dxa"/>
              <w:bottom w:w="0" w:type="dxa"/>
              <w:right w:w="108" w:type="dxa"/>
            </w:tcMar>
            <w:vAlign w:val="center"/>
            <w:hideMark/>
          </w:tcPr>
          <w:p w:rsidR="003248C4" w:rsidRDefault="003248C4" w:rsidP="001112C9">
            <w:pPr>
              <w:spacing w:before="40" w:after="40"/>
              <w:jc w:val="center"/>
              <w:rPr>
                <w:b/>
                <w:bCs/>
                <w:sz w:val="28"/>
                <w:szCs w:val="28"/>
              </w:rPr>
            </w:pPr>
            <w:r>
              <w:rPr>
                <w:b/>
                <w:bCs/>
                <w:noProof w:val="0"/>
                <w:sz w:val="28"/>
                <w:szCs w:val="28"/>
                <w:rtl/>
              </w:rPr>
              <w:t>זיוה הרמן,</w:t>
            </w:r>
          </w:p>
          <w:p w:rsidR="003248C4" w:rsidRDefault="003248C4" w:rsidP="001112C9">
            <w:pPr>
              <w:spacing w:before="40" w:after="40"/>
              <w:jc w:val="center"/>
              <w:rPr>
                <w:b/>
                <w:bCs/>
                <w:noProof w:val="0"/>
                <w:sz w:val="28"/>
                <w:szCs w:val="28"/>
                <w:rtl/>
              </w:rPr>
            </w:pPr>
            <w:r>
              <w:rPr>
                <w:b/>
                <w:bCs/>
                <w:noProof w:val="0"/>
                <w:sz w:val="28"/>
                <w:szCs w:val="28"/>
                <w:rtl/>
              </w:rPr>
              <w:t>שופטת (בדימוס)</w:t>
            </w:r>
          </w:p>
        </w:tc>
        <w:tc>
          <w:tcPr>
            <w:tcW w:w="341" w:type="dxa"/>
            <w:tcBorders>
              <w:top w:val="nil"/>
              <w:left w:val="nil"/>
              <w:bottom w:val="single" w:sz="8" w:space="0" w:color="auto"/>
              <w:right w:val="nil"/>
            </w:tcBorders>
            <w:tcMar>
              <w:top w:w="0" w:type="dxa"/>
              <w:left w:w="108" w:type="dxa"/>
              <w:bottom w:w="0" w:type="dxa"/>
              <w:right w:w="108" w:type="dxa"/>
            </w:tcMar>
            <w:vAlign w:val="bottom"/>
          </w:tcPr>
          <w:p w:rsidR="003248C4" w:rsidRDefault="003248C4" w:rsidP="001112C9">
            <w:pPr>
              <w:jc w:val="center"/>
              <w:rPr>
                <w:noProof w:val="0"/>
                <w:rtl/>
              </w:rPr>
            </w:pPr>
          </w:p>
        </w:tc>
        <w:tc>
          <w:tcPr>
            <w:tcW w:w="2694" w:type="dxa"/>
            <w:tcBorders>
              <w:top w:val="nil"/>
              <w:left w:val="nil"/>
              <w:bottom w:val="single" w:sz="8" w:space="0" w:color="auto"/>
              <w:right w:val="nil"/>
            </w:tcBorders>
            <w:tcMar>
              <w:top w:w="0" w:type="dxa"/>
              <w:left w:w="108" w:type="dxa"/>
              <w:bottom w:w="0" w:type="dxa"/>
              <w:right w:w="108" w:type="dxa"/>
            </w:tcMar>
            <w:hideMark/>
          </w:tcPr>
          <w:p w:rsidR="003248C4" w:rsidRDefault="003248C4" w:rsidP="001112C9">
            <w:pPr>
              <w:jc w:val="center"/>
              <w:rPr>
                <w:b/>
                <w:bCs/>
                <w:sz w:val="28"/>
                <w:szCs w:val="28"/>
              </w:rPr>
            </w:pPr>
            <w:r>
              <w:rPr>
                <w:b/>
                <w:bCs/>
                <w:noProof w:val="0"/>
                <w:sz w:val="28"/>
                <w:szCs w:val="28"/>
                <w:rtl/>
              </w:rPr>
              <w:t xml:space="preserve">גברת אורית שפירא- </w:t>
            </w:r>
            <w:proofErr w:type="spellStart"/>
            <w:r>
              <w:rPr>
                <w:b/>
                <w:bCs/>
                <w:noProof w:val="0"/>
                <w:sz w:val="28"/>
                <w:szCs w:val="28"/>
                <w:rtl/>
              </w:rPr>
              <w:t>הימן</w:t>
            </w:r>
            <w:proofErr w:type="spellEnd"/>
            <w:r>
              <w:rPr>
                <w:b/>
                <w:bCs/>
                <w:noProof w:val="0"/>
                <w:sz w:val="28"/>
                <w:szCs w:val="28"/>
                <w:rtl/>
              </w:rPr>
              <w:t>,</w:t>
            </w:r>
          </w:p>
          <w:p w:rsidR="003248C4" w:rsidRDefault="003248C4" w:rsidP="001112C9">
            <w:pPr>
              <w:jc w:val="center"/>
              <w:rPr>
                <w:b/>
                <w:bCs/>
              </w:rPr>
            </w:pPr>
            <w:r>
              <w:rPr>
                <w:b/>
                <w:bCs/>
                <w:noProof w:val="0"/>
                <w:sz w:val="28"/>
                <w:szCs w:val="28"/>
                <w:rtl/>
              </w:rPr>
              <w:t>חברת וועדה</w:t>
            </w:r>
          </w:p>
        </w:tc>
        <w:tc>
          <w:tcPr>
            <w:tcW w:w="283" w:type="dxa"/>
            <w:tcBorders>
              <w:top w:val="nil"/>
              <w:left w:val="nil"/>
              <w:bottom w:val="single" w:sz="8" w:space="0" w:color="auto"/>
              <w:right w:val="nil"/>
            </w:tcBorders>
            <w:tcMar>
              <w:top w:w="0" w:type="dxa"/>
              <w:left w:w="108" w:type="dxa"/>
              <w:bottom w:w="0" w:type="dxa"/>
              <w:right w:w="108" w:type="dxa"/>
            </w:tcMar>
            <w:vAlign w:val="bottom"/>
          </w:tcPr>
          <w:p w:rsidR="003248C4" w:rsidRDefault="003248C4" w:rsidP="001112C9">
            <w:pPr>
              <w:jc w:val="center"/>
              <w:rPr>
                <w:b/>
                <w:bCs/>
                <w:lang w:eastAsia="he-IL"/>
              </w:rPr>
            </w:pPr>
          </w:p>
        </w:tc>
        <w:tc>
          <w:tcPr>
            <w:tcW w:w="2693" w:type="dxa"/>
            <w:tcBorders>
              <w:top w:val="nil"/>
              <w:left w:val="nil"/>
              <w:bottom w:val="single" w:sz="8" w:space="0" w:color="auto"/>
              <w:right w:val="nil"/>
            </w:tcBorders>
            <w:tcMar>
              <w:top w:w="0" w:type="dxa"/>
              <w:left w:w="108" w:type="dxa"/>
              <w:bottom w:w="0" w:type="dxa"/>
              <w:right w:w="108" w:type="dxa"/>
            </w:tcMar>
            <w:hideMark/>
          </w:tcPr>
          <w:p w:rsidR="003248C4" w:rsidRDefault="003248C4" w:rsidP="001112C9">
            <w:pPr>
              <w:jc w:val="center"/>
              <w:rPr>
                <w:b/>
                <w:bCs/>
                <w:noProof w:val="0"/>
                <w:sz w:val="28"/>
                <w:szCs w:val="28"/>
                <w:rtl/>
              </w:rPr>
            </w:pPr>
            <w:r>
              <w:rPr>
                <w:b/>
                <w:bCs/>
                <w:noProof w:val="0"/>
                <w:sz w:val="28"/>
                <w:szCs w:val="28"/>
                <w:rtl/>
              </w:rPr>
              <w:t>גב' אסנת חיות,</w:t>
            </w:r>
          </w:p>
          <w:p w:rsidR="003248C4" w:rsidRDefault="003248C4" w:rsidP="001112C9">
            <w:pPr>
              <w:jc w:val="center"/>
              <w:rPr>
                <w:b/>
                <w:bCs/>
                <w:noProof w:val="0"/>
                <w:sz w:val="28"/>
                <w:szCs w:val="28"/>
                <w:rtl/>
              </w:rPr>
            </w:pPr>
            <w:r>
              <w:rPr>
                <w:b/>
                <w:bCs/>
                <w:noProof w:val="0"/>
                <w:sz w:val="28"/>
                <w:szCs w:val="28"/>
                <w:rtl/>
              </w:rPr>
              <w:t>חברת וועדה</w:t>
            </w:r>
          </w:p>
        </w:tc>
      </w:tr>
      <w:tr w:rsidR="003248C4" w:rsidTr="001112C9">
        <w:tc>
          <w:tcPr>
            <w:tcW w:w="2834" w:type="dxa"/>
            <w:tcMar>
              <w:top w:w="0" w:type="dxa"/>
              <w:left w:w="108" w:type="dxa"/>
              <w:bottom w:w="0" w:type="dxa"/>
              <w:right w:w="108" w:type="dxa"/>
            </w:tcMar>
            <w:vAlign w:val="center"/>
          </w:tcPr>
          <w:p w:rsidR="003248C4" w:rsidRDefault="003248C4" w:rsidP="001112C9">
            <w:pPr>
              <w:spacing w:before="40" w:after="40"/>
              <w:jc w:val="center"/>
              <w:rPr>
                <w:b/>
                <w:bCs/>
                <w:noProof w:val="0"/>
                <w:sz w:val="28"/>
                <w:szCs w:val="28"/>
                <w:rtl/>
              </w:rPr>
            </w:pPr>
          </w:p>
        </w:tc>
        <w:tc>
          <w:tcPr>
            <w:tcW w:w="6015" w:type="dxa"/>
            <w:gridSpan w:val="4"/>
            <w:vAlign w:val="center"/>
            <w:hideMark/>
          </w:tcPr>
          <w:p w:rsidR="003248C4" w:rsidRDefault="003248C4" w:rsidP="001112C9">
            <w:r>
              <w:rPr>
                <w:noProof w:val="0"/>
                <w:rtl/>
              </w:rPr>
              <w:t> </w:t>
            </w:r>
          </w:p>
        </w:tc>
      </w:tr>
      <w:tr w:rsidR="003248C4" w:rsidTr="001112C9">
        <w:tc>
          <w:tcPr>
            <w:tcW w:w="2834" w:type="dxa"/>
            <w:tcBorders>
              <w:top w:val="nil"/>
              <w:left w:val="nil"/>
              <w:bottom w:val="single" w:sz="8" w:space="0" w:color="auto"/>
              <w:right w:val="nil"/>
            </w:tcBorders>
            <w:tcMar>
              <w:top w:w="0" w:type="dxa"/>
              <w:left w:w="108" w:type="dxa"/>
              <w:bottom w:w="0" w:type="dxa"/>
              <w:right w:w="108" w:type="dxa"/>
            </w:tcMar>
            <w:vAlign w:val="center"/>
          </w:tcPr>
          <w:p w:rsidR="003248C4" w:rsidRDefault="003248C4" w:rsidP="001112C9">
            <w:pPr>
              <w:spacing w:before="40" w:after="40"/>
              <w:jc w:val="center"/>
              <w:rPr>
                <w:b/>
                <w:bCs/>
                <w:noProof w:val="0"/>
                <w:sz w:val="28"/>
                <w:szCs w:val="28"/>
                <w:rtl/>
              </w:rPr>
            </w:pPr>
          </w:p>
        </w:tc>
        <w:tc>
          <w:tcPr>
            <w:tcW w:w="6015" w:type="dxa"/>
            <w:gridSpan w:val="4"/>
            <w:vAlign w:val="center"/>
            <w:hideMark/>
          </w:tcPr>
          <w:p w:rsidR="003248C4" w:rsidRDefault="003248C4" w:rsidP="001112C9">
            <w:pPr>
              <w:rPr>
                <w:noProof w:val="0"/>
                <w:rtl/>
              </w:rPr>
            </w:pPr>
            <w:r>
              <w:rPr>
                <w:noProof w:val="0"/>
                <w:rtl/>
              </w:rPr>
              <w:t> </w:t>
            </w:r>
          </w:p>
        </w:tc>
      </w:tr>
      <w:tr w:rsidR="003248C4" w:rsidTr="001112C9">
        <w:tc>
          <w:tcPr>
            <w:tcW w:w="2834" w:type="dxa"/>
            <w:tcMar>
              <w:top w:w="0" w:type="dxa"/>
              <w:left w:w="108" w:type="dxa"/>
              <w:bottom w:w="0" w:type="dxa"/>
              <w:right w:w="108" w:type="dxa"/>
            </w:tcMar>
            <w:vAlign w:val="center"/>
            <w:hideMark/>
          </w:tcPr>
          <w:p w:rsidR="003248C4" w:rsidRDefault="003248C4" w:rsidP="001112C9">
            <w:pPr>
              <w:jc w:val="center"/>
              <w:rPr>
                <w:b/>
                <w:bCs/>
                <w:sz w:val="28"/>
                <w:szCs w:val="28"/>
              </w:rPr>
            </w:pPr>
            <w:proofErr w:type="spellStart"/>
            <w:r>
              <w:rPr>
                <w:b/>
                <w:bCs/>
                <w:noProof w:val="0"/>
                <w:sz w:val="28"/>
                <w:szCs w:val="28"/>
                <w:rtl/>
              </w:rPr>
              <w:t>רס"מ</w:t>
            </w:r>
            <w:proofErr w:type="spellEnd"/>
            <w:r>
              <w:rPr>
                <w:b/>
                <w:bCs/>
                <w:noProof w:val="0"/>
                <w:sz w:val="28"/>
                <w:szCs w:val="28"/>
                <w:rtl/>
              </w:rPr>
              <w:t>, הילה עמרם,</w:t>
            </w:r>
          </w:p>
          <w:p w:rsidR="003248C4" w:rsidRDefault="003248C4" w:rsidP="001112C9">
            <w:pPr>
              <w:spacing w:before="40" w:after="40"/>
              <w:jc w:val="center"/>
              <w:rPr>
                <w:b/>
                <w:bCs/>
                <w:noProof w:val="0"/>
                <w:sz w:val="28"/>
                <w:szCs w:val="28"/>
                <w:rtl/>
              </w:rPr>
            </w:pPr>
            <w:r>
              <w:rPr>
                <w:b/>
                <w:bCs/>
                <w:noProof w:val="0"/>
                <w:sz w:val="28"/>
                <w:szCs w:val="28"/>
                <w:rtl/>
              </w:rPr>
              <w:t>נציגת שב"ס</w:t>
            </w:r>
          </w:p>
        </w:tc>
        <w:tc>
          <w:tcPr>
            <w:tcW w:w="6015" w:type="dxa"/>
            <w:gridSpan w:val="4"/>
            <w:vAlign w:val="center"/>
            <w:hideMark/>
          </w:tcPr>
          <w:p w:rsidR="003248C4" w:rsidRDefault="003248C4" w:rsidP="001112C9">
            <w:pPr>
              <w:rPr>
                <w:noProof w:val="0"/>
                <w:rtl/>
              </w:rPr>
            </w:pPr>
            <w:r>
              <w:rPr>
                <w:noProof w:val="0"/>
                <w:rtl/>
              </w:rPr>
              <w:t> </w:t>
            </w:r>
          </w:p>
        </w:tc>
      </w:tr>
    </w:tbl>
    <w:p w:rsidR="00960D90" w:rsidRPr="003248C4" w:rsidRDefault="00960D90"/>
    <w:sectPr w:rsidR="00960D90" w:rsidRPr="003248C4">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avid">
    <w:panose1 w:val="020E0502060401010101"/>
    <w:charset w:val="B1"/>
    <w:family w:val="swiss"/>
    <w:pitch w:val="variable"/>
    <w:sig w:usb0="00000801" w:usb1="00000000" w:usb2="00000000" w:usb3="00000000" w:csb0="0000002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C3724D"/>
    <w:multiLevelType w:val="hybridMultilevel"/>
    <w:tmpl w:val="7960D89A"/>
    <w:lvl w:ilvl="0" w:tplc="4A0CFF04">
      <w:start w:val="1"/>
      <w:numFmt w:val="decimal"/>
      <w:lvlText w:val="%1."/>
      <w:lvlJc w:val="left"/>
      <w:pPr>
        <w:ind w:left="720" w:hanging="360"/>
      </w:pPr>
      <w:rPr>
        <w:rFonts w:cs="David"/>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8C4"/>
    <w:rsid w:val="003248C4"/>
    <w:rsid w:val="00960D90"/>
    <w:rsid w:val="00A32A4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4C6B93-A079-4E18-81DA-5D8C2D6BE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48C4"/>
    <w:pPr>
      <w:bidi/>
      <w:spacing w:after="0" w:line="240" w:lineRule="auto"/>
    </w:pPr>
    <w:rPr>
      <w:rFonts w:ascii="Times New Roman" w:eastAsia="Times New Roman" w:hAnsi="Times New Roman" w:cs="David"/>
      <w:noProo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248C4"/>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äçìèä"/>
    <w:basedOn w:val="a"/>
    <w:rsid w:val="003248C4"/>
    <w:pPr>
      <w:overflowPunct w:val="0"/>
      <w:autoSpaceDE w:val="0"/>
      <w:autoSpaceDN w:val="0"/>
      <w:bidi w:val="0"/>
      <w:adjustRightInd w:val="0"/>
    </w:pPr>
    <w:rPr>
      <w:rFonts w:cs="Times New Roman"/>
      <w:b/>
      <w:bCs/>
      <w:noProof w:val="0"/>
      <w:sz w:val="20"/>
      <w:szCs w:val="20"/>
      <w:lang w:eastAsia="he-IL"/>
    </w:rPr>
  </w:style>
  <w:style w:type="paragraph" w:styleId="a5">
    <w:name w:val="Balloon Text"/>
    <w:basedOn w:val="a"/>
    <w:link w:val="a6"/>
    <w:uiPriority w:val="99"/>
    <w:semiHidden/>
    <w:unhideWhenUsed/>
    <w:rsid w:val="003248C4"/>
    <w:rPr>
      <w:rFonts w:ascii="Tahoma" w:hAnsi="Tahoma" w:cs="Tahoma"/>
      <w:sz w:val="16"/>
      <w:szCs w:val="16"/>
    </w:rPr>
  </w:style>
  <w:style w:type="character" w:customStyle="1" w:styleId="a6">
    <w:name w:val="טקסט בלונים תו"/>
    <w:basedOn w:val="a0"/>
    <w:link w:val="a5"/>
    <w:uiPriority w:val="99"/>
    <w:semiHidden/>
    <w:rsid w:val="003248C4"/>
    <w:rPr>
      <w:rFonts w:ascii="Tahoma" w:eastAsia="Times New Roman"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1033</Words>
  <Characters>5167</Characters>
  <Application>Microsoft Office Word</Application>
  <DocSecurity>4</DocSecurity>
  <Lines>43</Lines>
  <Paragraphs>12</Paragraphs>
  <ScaleCrop>false</ScaleCrop>
  <HeadingPairs>
    <vt:vector size="2" baseType="variant">
      <vt:variant>
        <vt:lpstr>שם</vt:lpstr>
      </vt:variant>
      <vt:variant>
        <vt:i4>1</vt:i4>
      </vt:variant>
    </vt:vector>
  </HeadingPairs>
  <TitlesOfParts>
    <vt:vector size="1" baseType="lpstr">
      <vt:lpstr/>
    </vt:vector>
  </TitlesOfParts>
  <Company>Court</Company>
  <LinksUpToDate>false</LinksUpToDate>
  <CharactersWithSpaces>6188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dc:creator>
  <cp:lastModifiedBy>רותם כהן</cp:lastModifiedBy>
  <cp:revision>2</cp:revision>
  <cp:lastPrinted>2020-01-30T09:25:00Z</cp:lastPrinted>
  <dcterms:created xsi:type="dcterms:W3CDTF">2020-01-30T09:27:00Z</dcterms:created>
  <dcterms:modified xsi:type="dcterms:W3CDTF">2020-01-30T09:27:00Z</dcterms:modified>
</cp:coreProperties>
</file>