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30EC" w14:textId="77777777" w:rsidR="00613C0C" w:rsidRDefault="00613C0C" w:rsidP="00613C0C"/>
    <w:p w14:paraId="2B4B8F4C" w14:textId="77777777" w:rsidR="00613C0C" w:rsidRPr="0053248F" w:rsidRDefault="00613C0C" w:rsidP="00613C0C">
      <w:pPr>
        <w:jc w:val="center"/>
        <w:rPr>
          <w:b/>
          <w:bCs/>
          <w:u w:val="single"/>
          <w:rtl/>
        </w:rPr>
      </w:pPr>
      <w:r w:rsidRPr="0053248F">
        <w:rPr>
          <w:b/>
          <w:bCs/>
          <w:u w:val="single"/>
          <w:rtl/>
        </w:rPr>
        <w:t>תזכיר חוק</w:t>
      </w:r>
      <w:r w:rsidRPr="0053248F">
        <w:rPr>
          <w:rFonts w:hint="cs"/>
          <w:b/>
          <w:bCs/>
          <w:u w:val="single"/>
          <w:rtl/>
        </w:rPr>
        <w:t>-יסוד</w:t>
      </w:r>
    </w:p>
    <w:p w14:paraId="0CC52DFB" w14:textId="77777777" w:rsidR="00613C0C" w:rsidRPr="0053248F" w:rsidRDefault="00613C0C" w:rsidP="00613C0C">
      <w:pPr>
        <w:rPr>
          <w:b/>
          <w:bCs/>
          <w:u w:val="single"/>
          <w:rtl/>
        </w:rPr>
      </w:pPr>
    </w:p>
    <w:p w14:paraId="0381A1B9" w14:textId="77777777" w:rsidR="00613C0C" w:rsidRPr="0053248F" w:rsidRDefault="00613C0C" w:rsidP="00613C0C">
      <w:pPr>
        <w:rPr>
          <w:b/>
          <w:bCs/>
          <w:u w:val="single"/>
          <w:rtl/>
        </w:rPr>
      </w:pPr>
      <w:r w:rsidRPr="0053248F">
        <w:rPr>
          <w:b/>
          <w:bCs/>
          <w:rtl/>
        </w:rPr>
        <w:t xml:space="preserve">א. </w:t>
      </w:r>
      <w:r w:rsidRPr="0053248F">
        <w:rPr>
          <w:b/>
          <w:bCs/>
          <w:u w:val="single"/>
          <w:rtl/>
        </w:rPr>
        <w:t>שם חוק</w:t>
      </w:r>
      <w:r w:rsidRPr="0053248F">
        <w:rPr>
          <w:rFonts w:hint="cs"/>
          <w:b/>
          <w:bCs/>
          <w:u w:val="single"/>
          <w:rtl/>
        </w:rPr>
        <w:t xml:space="preserve"> היסוד</w:t>
      </w:r>
      <w:r w:rsidRPr="0053248F">
        <w:rPr>
          <w:b/>
          <w:bCs/>
          <w:u w:val="single"/>
          <w:rtl/>
        </w:rPr>
        <w:t xml:space="preserve"> המוצע</w:t>
      </w:r>
    </w:p>
    <w:p w14:paraId="1F25D7C7" w14:textId="77777777" w:rsidR="00613C0C" w:rsidRDefault="00613C0C" w:rsidP="00613C0C">
      <w:pPr>
        <w:rPr>
          <w:rtl/>
        </w:rPr>
      </w:pPr>
      <w:r w:rsidRPr="005A728C">
        <w:rPr>
          <w:rFonts w:hint="cs"/>
          <w:sz w:val="26"/>
          <w:rtl/>
        </w:rPr>
        <w:t>חוק</w:t>
      </w:r>
      <w:r w:rsidRPr="005A728C">
        <w:rPr>
          <w:sz w:val="26"/>
          <w:rtl/>
        </w:rPr>
        <w:t>-</w:t>
      </w:r>
      <w:r w:rsidRPr="005A728C">
        <w:rPr>
          <w:rFonts w:hint="cs"/>
          <w:sz w:val="26"/>
          <w:rtl/>
        </w:rPr>
        <w:t>יסוד</w:t>
      </w:r>
      <w:r w:rsidRPr="005A728C">
        <w:rPr>
          <w:sz w:val="26"/>
          <w:rtl/>
        </w:rPr>
        <w:t xml:space="preserve">: </w:t>
      </w:r>
      <w:r w:rsidRPr="005A728C">
        <w:rPr>
          <w:rFonts w:hint="cs"/>
          <w:sz w:val="26"/>
          <w:rtl/>
        </w:rPr>
        <w:t>השפיטה</w:t>
      </w:r>
      <w:r w:rsidRPr="005A728C">
        <w:rPr>
          <w:sz w:val="26"/>
          <w:rtl/>
        </w:rPr>
        <w:t xml:space="preserve"> </w:t>
      </w:r>
      <w:r w:rsidRPr="00F36FF8">
        <w:rPr>
          <w:sz w:val="26"/>
          <w:rtl/>
        </w:rPr>
        <w:t xml:space="preserve">(תיקון </w:t>
      </w:r>
      <w:r>
        <w:rPr>
          <w:sz w:val="26"/>
          <w:rtl/>
        </w:rPr>
        <w:t>–</w:t>
      </w:r>
      <w:r w:rsidRPr="00F36FF8">
        <w:rPr>
          <w:sz w:val="26"/>
          <w:rtl/>
        </w:rPr>
        <w:t xml:space="preserve"> </w:t>
      </w:r>
      <w:r w:rsidRPr="00203EB8">
        <w:rPr>
          <w:rFonts w:hint="cs"/>
          <w:sz w:val="26"/>
          <w:rtl/>
        </w:rPr>
        <w:t xml:space="preserve"> </w:t>
      </w:r>
      <w:r>
        <w:rPr>
          <w:rFonts w:hint="cs"/>
          <w:sz w:val="26"/>
          <w:rtl/>
        </w:rPr>
        <w:t>רפורמה במשפט</w:t>
      </w:r>
      <w:r>
        <w:rPr>
          <w:sz w:val="26"/>
          <w:rtl/>
        </w:rPr>
        <w:t>)</w:t>
      </w:r>
    </w:p>
    <w:p w14:paraId="09D3AF29" w14:textId="77777777" w:rsidR="00613C0C" w:rsidRPr="0053248F" w:rsidRDefault="00613C0C" w:rsidP="00613C0C">
      <w:pPr>
        <w:rPr>
          <w:rtl/>
        </w:rPr>
      </w:pPr>
    </w:p>
    <w:p w14:paraId="18F35E69" w14:textId="77777777" w:rsidR="00613C0C" w:rsidRPr="0053248F" w:rsidRDefault="00613C0C" w:rsidP="00613C0C">
      <w:pPr>
        <w:rPr>
          <w:b/>
          <w:bCs/>
          <w:u w:val="single"/>
          <w:rtl/>
        </w:rPr>
      </w:pPr>
      <w:r w:rsidRPr="0053248F">
        <w:rPr>
          <w:b/>
          <w:bCs/>
          <w:rtl/>
        </w:rPr>
        <w:t xml:space="preserve">ב. </w:t>
      </w:r>
      <w:r w:rsidRPr="0053248F">
        <w:rPr>
          <w:b/>
          <w:bCs/>
          <w:u w:val="single"/>
          <w:rtl/>
        </w:rPr>
        <w:t>עיקרי חוק</w:t>
      </w:r>
      <w:r w:rsidRPr="0053248F">
        <w:rPr>
          <w:rFonts w:hint="cs"/>
          <w:b/>
          <w:bCs/>
          <w:u w:val="single"/>
          <w:rtl/>
        </w:rPr>
        <w:t xml:space="preserve"> היסוד</w:t>
      </w:r>
      <w:r w:rsidRPr="0053248F">
        <w:rPr>
          <w:b/>
          <w:bCs/>
          <w:u w:val="single"/>
          <w:rtl/>
        </w:rPr>
        <w:t xml:space="preserve"> המוצע </w:t>
      </w:r>
      <w:r w:rsidRPr="0053248F">
        <w:rPr>
          <w:rFonts w:hint="cs"/>
          <w:b/>
          <w:bCs/>
          <w:u w:val="single"/>
          <w:rtl/>
        </w:rPr>
        <w:t>ו</w:t>
      </w:r>
      <w:r w:rsidRPr="0053248F">
        <w:rPr>
          <w:b/>
          <w:bCs/>
          <w:u w:val="single"/>
          <w:rtl/>
        </w:rPr>
        <w:t xml:space="preserve">הצורך בו </w:t>
      </w:r>
    </w:p>
    <w:p w14:paraId="4B79A38E" w14:textId="77777777" w:rsidR="00613C0C" w:rsidRPr="0053248F" w:rsidRDefault="00613C0C" w:rsidP="00613C0C">
      <w:pPr>
        <w:rPr>
          <w:rStyle w:val="default"/>
          <w:rFonts w:cs="FrankRuehl"/>
          <w:b/>
          <w:bCs/>
          <w:color w:val="FF0000"/>
          <w:szCs w:val="20"/>
          <w:shd w:val="clear" w:color="auto" w:fill="FFFF99"/>
          <w:rtl/>
        </w:rPr>
      </w:pPr>
    </w:p>
    <w:p w14:paraId="14846E62" w14:textId="77777777"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לחוק יסוד זה שלוש מטרות. </w:t>
      </w:r>
    </w:p>
    <w:p w14:paraId="378B5961" w14:textId="77777777" w:rsidR="00613C0C" w:rsidRPr="00613C0C" w:rsidRDefault="00613C0C" w:rsidP="00613C0C">
      <w:pPr>
        <w:pStyle w:val="Hesber"/>
        <w:spacing w:line="276" w:lineRule="auto"/>
        <w:rPr>
          <w:rFonts w:ascii="David" w:hAnsi="David"/>
          <w:sz w:val="26"/>
          <w:rtl/>
        </w:rPr>
      </w:pPr>
      <w:r w:rsidRPr="00613C0C">
        <w:rPr>
          <w:rFonts w:ascii="David" w:hAnsi="David"/>
          <w:sz w:val="26"/>
          <w:rtl/>
        </w:rPr>
        <w:t>האחת, לשנות את הרכב הוועדה לבחירת שופטים להרכב אשר ישקף באופן ייצוגי יותר את העמדות הרווחות בציבור, את הגיוון הערכי והחברתי בישראל ואת ציפיות הציבור ממערכת המשפט, וכן להבטיח שקיפות בהליך מינוי השופטים.</w:t>
      </w:r>
    </w:p>
    <w:p w14:paraId="77F0A56B" w14:textId="77777777" w:rsidR="00613C0C" w:rsidRPr="00613C0C" w:rsidRDefault="00613C0C" w:rsidP="00613C0C">
      <w:pPr>
        <w:pStyle w:val="Hesber"/>
        <w:spacing w:line="276" w:lineRule="auto"/>
        <w:rPr>
          <w:rFonts w:ascii="David" w:hAnsi="David"/>
          <w:sz w:val="26"/>
          <w:rtl/>
        </w:rPr>
      </w:pPr>
      <w:r w:rsidRPr="00613C0C">
        <w:rPr>
          <w:rFonts w:ascii="David" w:hAnsi="David"/>
          <w:sz w:val="26"/>
          <w:rtl/>
        </w:rPr>
        <w:t>המטרה השנייה היא להסדיר לראשונה בחוק יסוד ביקורת שיפוטית על חקיקה ראשית של הכנסת, להגדיר את גבולותיה, לקבוע פסקת התגברות מדורגת, ולהבטיח את ריבונות העם ואת כפיפות הרשות השופטת לשלטון החוק באמצעות הבהרת עליונות חוקי היסוד.</w:t>
      </w:r>
    </w:p>
    <w:p w14:paraId="6606E923" w14:textId="77777777"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המטרה השלישית היא לבטל את עילת חוסר הסבירות במשפט </w:t>
      </w:r>
      <w:proofErr w:type="spellStart"/>
      <w:r w:rsidRPr="00613C0C">
        <w:rPr>
          <w:rFonts w:ascii="David" w:hAnsi="David"/>
          <w:sz w:val="26"/>
          <w:rtl/>
        </w:rPr>
        <w:t>המינהלי</w:t>
      </w:r>
      <w:proofErr w:type="spellEnd"/>
      <w:r w:rsidRPr="00613C0C">
        <w:rPr>
          <w:rFonts w:ascii="David" w:hAnsi="David"/>
          <w:sz w:val="26"/>
          <w:rtl/>
        </w:rPr>
        <w:t xml:space="preserve"> הישראלי כפי שהתעצבה בעשורים האחרונים, ולהחזיר את הביקורת השיפוטית </w:t>
      </w:r>
      <w:proofErr w:type="spellStart"/>
      <w:r w:rsidRPr="00613C0C">
        <w:rPr>
          <w:rFonts w:ascii="David" w:hAnsi="David"/>
          <w:sz w:val="26"/>
          <w:rtl/>
        </w:rPr>
        <w:t>המינהלית</w:t>
      </w:r>
      <w:proofErr w:type="spellEnd"/>
      <w:r w:rsidRPr="00613C0C">
        <w:rPr>
          <w:rFonts w:ascii="David" w:hAnsi="David"/>
          <w:sz w:val="26"/>
          <w:rtl/>
        </w:rPr>
        <w:t xml:space="preserve"> לעילות המבוססות על אמות מידה ברורות ומוסכמות והמקובלות בעולם.</w:t>
      </w:r>
    </w:p>
    <w:p w14:paraId="322AD9E1" w14:textId="77777777" w:rsidR="00613C0C" w:rsidRPr="00613C0C" w:rsidRDefault="00613C0C" w:rsidP="00613C0C">
      <w:pPr>
        <w:pStyle w:val="Hesber"/>
        <w:spacing w:line="276" w:lineRule="auto"/>
        <w:rPr>
          <w:rFonts w:ascii="David" w:hAnsi="David"/>
          <w:sz w:val="26"/>
          <w:rtl/>
        </w:rPr>
      </w:pPr>
    </w:p>
    <w:p w14:paraId="30F55160" w14:textId="77777777" w:rsidR="00613C0C" w:rsidRPr="00613C0C" w:rsidRDefault="00613C0C" w:rsidP="00613C0C">
      <w:pPr>
        <w:pStyle w:val="Hesber"/>
        <w:spacing w:line="276" w:lineRule="auto"/>
        <w:rPr>
          <w:rFonts w:ascii="David" w:hAnsi="David"/>
          <w:b/>
          <w:bCs/>
          <w:sz w:val="26"/>
          <w:rtl/>
        </w:rPr>
      </w:pPr>
      <w:r w:rsidRPr="00613C0C">
        <w:rPr>
          <w:rFonts w:ascii="David" w:hAnsi="David"/>
          <w:b/>
          <w:bCs/>
          <w:sz w:val="26"/>
          <w:rtl/>
        </w:rPr>
        <w:t>שינוי הרכב הוועדה לבחירת שופטים והבטחת שקיפות בהליך הבחירה</w:t>
      </w:r>
    </w:p>
    <w:p w14:paraId="4E3F9209" w14:textId="77777777" w:rsidR="00613C0C" w:rsidRPr="00613C0C" w:rsidRDefault="00613C0C" w:rsidP="00A34959">
      <w:pPr>
        <w:pStyle w:val="Hesber"/>
        <w:spacing w:line="276" w:lineRule="auto"/>
        <w:rPr>
          <w:rFonts w:ascii="David" w:hAnsi="David"/>
          <w:sz w:val="26"/>
          <w:rtl/>
        </w:rPr>
      </w:pPr>
      <w:r w:rsidRPr="00613C0C">
        <w:rPr>
          <w:rFonts w:ascii="David" w:hAnsi="David"/>
          <w:sz w:val="26"/>
          <w:rtl/>
        </w:rPr>
        <w:t xml:space="preserve">מוצע לקבוע בסעיף 4 לחוק היסוד הרכב לוועדה לבחירת שופטים אשר יאפשר ביטוי רחב לערכי הציבור ולגיוון העמדות וההשקפות בחברה הישראלית, ולמנוע מצב שבו השופטים המכהנים שולטים – באופן חיובי או בדרך של וטו - בהליכי המיון והבחירה לתפקידי שפיטה והרשות השופטת משפיעה בעצמה על הרכבה. עוד מוצע </w:t>
      </w:r>
      <w:r w:rsidR="00A34959">
        <w:rPr>
          <w:rFonts w:ascii="David" w:hAnsi="David" w:hint="cs"/>
          <w:sz w:val="26"/>
          <w:rtl/>
        </w:rPr>
        <w:t>לאפשר</w:t>
      </w:r>
      <w:r w:rsidR="00A34959" w:rsidRPr="00613C0C">
        <w:rPr>
          <w:rFonts w:ascii="David" w:hAnsi="David"/>
          <w:sz w:val="26"/>
          <w:rtl/>
        </w:rPr>
        <w:t xml:space="preserve"> </w:t>
      </w:r>
      <w:r w:rsidRPr="00613C0C">
        <w:rPr>
          <w:rFonts w:ascii="David" w:hAnsi="David"/>
          <w:sz w:val="26"/>
          <w:rtl/>
        </w:rPr>
        <w:t>שימוע פומבי למועמדים לבית המשפט העליון בפני ועדת החוקה, חוק ומשפט של הכנסת באופן שיבטיח שקיפות בהליכי המינוי. השימוע יבטיח את איכות המועמדים לשיפוט ויבטיח דיון ציבורי גלוי בתפיסות המשפטיות ובערכים העקרוניים של המועמדים לפני מינויים.</w:t>
      </w:r>
    </w:p>
    <w:p w14:paraId="77D24C04" w14:textId="77777777"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הרכב הוועדה לבחירת שופטים עובר לחקיקתו של חוק זה הוא בן תשעה חברים. שלושה מתוכם שופטים של בית המשפט העליון, שני נציגים של לשכת עורכי הדין, שני חברי כנסת ושני שרים. בשיטה זו לחברי הוועדה שאינם נבחרי ציבור – השופטים ועורכי הדין – יש רוב בוועדה, ולא ניתן למנות שופט שאינו מקובל עליהם לערכאה כלשהי. יתרה מכך, נציגי בית המשפט העליון בוועדה נוהגים להצביע באופן מתואם ביניהם, והדבר גורם לכך שנציגי הרשות השופטת מנהלים משא ומתן עם יתר חברי הוועדה כיחידה אחת עם כוח מיקוח מוגבר. </w:t>
      </w:r>
    </w:p>
    <w:p w14:paraId="59BB331B" w14:textId="77777777"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מדינת ישראל צריכה מערכת משפט חזקה ועצמאית, כמו כל מדינה מערבית מתוקנת. ביקורת שיפוטית שמקיים בית המשפט על מעשים שלטוניים בהכרח מושפעת מעת לעת מתפיסות עולם ערכיות של השופט. אשר על כן היא חייבת להיעשות בידי שופטים אשר משקפים בתפיסותיהם המשפטיות במידת מה את מפת הערכים העקרונית של הציבור. הכרעה שיפוטית אמנם שונה באופייה מהכרעה פוליטית ברשויות השלטון האחרות, אך גם היא צריכה להתבצע בידי פורום אשר משקף את ערכי הציבור ואת תפיסותיו. כך בייחוד לאור העובדה שבשנים האחרונות הולך וגובר עיסוקו של בית המשפט בעניינים בעלי אופי ציבורי-פוליטי. </w:t>
      </w:r>
    </w:p>
    <w:p w14:paraId="7DA4842C" w14:textId="77777777"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הדברים אמורים ביתר שאת ביחס לבית המשפט העליון, לנוכח העובדה שחוק זה מסמיך אותו לראשונה לפסול חוקים שחוקקה הכנסת. רשות שיפוטית שמקבלת סמכות להתערב בהכרעותיו הערכיות של המחוקק, חייבת לבטא שיקוף רחב של העמדות הרווחות </w:t>
      </w:r>
      <w:r w:rsidRPr="00613C0C">
        <w:rPr>
          <w:rFonts w:ascii="David" w:hAnsi="David"/>
          <w:sz w:val="26"/>
          <w:rtl/>
        </w:rPr>
        <w:lastRenderedPageBreak/>
        <w:t>בציבור כדי להצדיק את סמכותה זו. לא בכדי, במבט משווה, ניתן לראות כי מדינות דוגמת ארצות הברית, גרמניה וקנדה, אשר מסמיכות את בתי המשפט שלהן לפסול חוקים, בוחרות את שופטי הערכאה השיפוטית העליונה שלהן באמצעות נבחרי ציבור. מנגד, מדינות המאפשרות לשופטים וטו על בחירת השופטים לבית המשפט העליון, דוגמת בריטניה, לא מסמיכות את בתי המשפט לפסול חקיקה ראשית.</w:t>
      </w:r>
    </w:p>
    <w:p w14:paraId="2B6F855F" w14:textId="77777777"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עוד נדגיש באשר למינויים לבית המשפט העליון, כי שיטת מינוי השופטים בישראל חריגה מאוד ביחס למקובל בעולם המערבי. מחקר משנת 2019 שבדק את שיטת מינוי השופטים לערכאה החוקתית העליונה בקרב 36 מדינות ה </w:t>
      </w:r>
      <w:r w:rsidRPr="00613C0C">
        <w:rPr>
          <w:rFonts w:ascii="David" w:hAnsi="David"/>
          <w:sz w:val="26"/>
        </w:rPr>
        <w:t>OECD</w:t>
      </w:r>
      <w:r w:rsidRPr="00613C0C">
        <w:rPr>
          <w:rFonts w:ascii="David" w:hAnsi="David"/>
          <w:sz w:val="26"/>
          <w:rtl/>
        </w:rPr>
        <w:t xml:space="preserve">, (בית משפט עליון או בית משפט לחוקה לפי העניין), מצא כי 24 מתוך 36 המדינות שנבחנו בוחרות את שופטיהן בשיטה שמעניקה את זכות הבחירה לנבחרי ציבור בלבד. כך למשל, בארצות הברית מתמנים שופטי בית המשפט העליון בידי הנשיא ובאישור הסנאט; בגרמניה שופטי בית המשפט לחוקה מתמנים בידי הרשות המחוקקת על שני בתיה; </w:t>
      </w:r>
      <w:r w:rsidRPr="00613C0C">
        <w:rPr>
          <w:rFonts w:ascii="David" w:hAnsi="David"/>
          <w:color w:val="2D2D2D"/>
          <w:sz w:val="26"/>
          <w:rtl/>
        </w:rPr>
        <w:t>בצרפת נבחרים שופטי המועצה החוקתית בידי הנשיא ושני בתי הנבחרים בחלוקה שווה, ולצידם מכהנים גם נשיאי המדינה בעבר;</w:t>
      </w:r>
      <w:r w:rsidRPr="00613C0C">
        <w:rPr>
          <w:rFonts w:ascii="David" w:hAnsi="David"/>
          <w:sz w:val="26"/>
          <w:rtl/>
        </w:rPr>
        <w:t xml:space="preserve"> וביפן הבחירה נשלטת בידי הממשלה בכפוף למנגנון אשרור במשאל עם. לשיטה של בחירה בלעדית בידי נבחרי ציבור של שופטי הערכאה החוקתית העליונה שותפות גם קנדה, אוסטרליה, ניוזילנד, בלגיה, שוויץ, אוסטריה, אירלנד, הולנד, דנמרק, שבדיה, איסלנד, פינלנד, נורבגיה ועוד. יש לציין כי גם בישראל בשנותיה הראשונות נהגה שיטה כזו והשופטים אשר יסדו את בית המשפט העליון התמנו בידי הממשלה באישור הכנסת.</w:t>
      </w:r>
    </w:p>
    <w:p w14:paraId="705C4AE0" w14:textId="77777777"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רק ארבע מדינות החברות בארגון ה </w:t>
      </w:r>
      <w:r w:rsidRPr="00613C0C">
        <w:rPr>
          <w:rFonts w:ascii="David" w:hAnsi="David"/>
          <w:sz w:val="26"/>
        </w:rPr>
        <w:t>OECD</w:t>
      </w:r>
      <w:r w:rsidRPr="00613C0C">
        <w:rPr>
          <w:rFonts w:ascii="David" w:hAnsi="David"/>
          <w:sz w:val="26"/>
          <w:rtl/>
        </w:rPr>
        <w:t>, פרט לישראל, ממנות את כלל שופטי הערכאה החוקתית העליונה שלהן מבלי לאפשר לנבחרי הציבור לשלוט בקביעת זהות השופטים: טורקיה, יוון, בריטניה ולוקסמבורג. ואולם בריטניה ולוקסמבורג נבדלות מישראל וממרבית המדינות האחרות בכך ששופטיהן לעולם אינם פוסלים את חוקי הפרלמנט, וכך עליונות ערכי הציבור מושגת בהן באמצעות עליונות החקיקה. יוצא אפוא כי מבין כל 36 מדינות ה-</w:t>
      </w:r>
      <w:r w:rsidRPr="00613C0C">
        <w:rPr>
          <w:rFonts w:ascii="David" w:hAnsi="David"/>
          <w:sz w:val="26"/>
        </w:rPr>
        <w:t xml:space="preserve">OECD </w:t>
      </w:r>
      <w:r w:rsidRPr="00613C0C">
        <w:rPr>
          <w:rFonts w:ascii="David" w:hAnsi="David"/>
          <w:sz w:val="26"/>
          <w:rtl/>
        </w:rPr>
        <w:t>, חברותיה היחידות של ישראל למתן זכות וטו למי שאינם נבחרי ציבור על מינוי שופטים לערכאה עליונה שמסוגלת לפסול את חוקי הפרלמנט, הן יוון וטורקיה.</w:t>
      </w:r>
    </w:p>
    <w:p w14:paraId="1FB16A83" w14:textId="77777777" w:rsidR="00613C0C" w:rsidRPr="00613C0C" w:rsidRDefault="00613C0C" w:rsidP="00613C0C">
      <w:pPr>
        <w:pStyle w:val="Hesber"/>
        <w:spacing w:line="276" w:lineRule="auto"/>
        <w:ind w:firstLine="0"/>
        <w:rPr>
          <w:rFonts w:ascii="David" w:hAnsi="David"/>
          <w:sz w:val="26"/>
          <w:rtl/>
        </w:rPr>
      </w:pPr>
      <w:r w:rsidRPr="00613C0C">
        <w:rPr>
          <w:rFonts w:ascii="David" w:hAnsi="David"/>
          <w:sz w:val="26"/>
          <w:rtl/>
        </w:rPr>
        <w:t xml:space="preserve">מקרב 50 המדינות שמרכיבות את ארצות הברית, ב-22 מדינות נבחרים שופטי בית המשפט העליון ישירות בידי הציבור באמצעות הצבעה בקלפי; 15 מדינות נוספות מאשררות את כהונת שופטיהן בבחירה ישירה בקלפי; ארבע מדינות בוחרות את שופטיהן בידי נבחרי ציבור ושמונה מדינות בידי וועדה שרוב חבריה מתמנים בידי נבחרי ציבור. (לסקירת שיטת המינוי של שופטי הערכאה החוקתית העליונה ב 36 מדינות ה </w:t>
      </w:r>
      <w:r w:rsidRPr="00613C0C">
        <w:rPr>
          <w:rFonts w:ascii="David" w:hAnsi="David"/>
          <w:sz w:val="26"/>
        </w:rPr>
        <w:t>OECD</w:t>
      </w:r>
      <w:r w:rsidRPr="00613C0C">
        <w:rPr>
          <w:rFonts w:ascii="David" w:hAnsi="David"/>
          <w:sz w:val="26"/>
          <w:rtl/>
        </w:rPr>
        <w:t xml:space="preserve"> וב- 50 מדינות ארצות הברית ראו: שי ניצן כהן, שמעון נטף ואביעד בקשי, בחירת שופטים לבתי משפט חוקתיים – מחקר השוואתי (2019)).</w:t>
      </w:r>
    </w:p>
    <w:p w14:paraId="744FF63C" w14:textId="77777777" w:rsidR="00613C0C" w:rsidRPr="00613C0C" w:rsidRDefault="00613C0C" w:rsidP="00613C0C">
      <w:pPr>
        <w:pStyle w:val="Hesber"/>
        <w:spacing w:line="276" w:lineRule="auto"/>
        <w:rPr>
          <w:rFonts w:ascii="David" w:hAnsi="David"/>
          <w:sz w:val="26"/>
          <w:rtl/>
        </w:rPr>
      </w:pPr>
      <w:r w:rsidRPr="00613C0C">
        <w:rPr>
          <w:rFonts w:ascii="David" w:hAnsi="David"/>
          <w:sz w:val="26"/>
          <w:rtl/>
        </w:rPr>
        <w:t>חוק יסוד זה איננו מעבר חד לשיטת המינוי המקובלת בעולם לערכאות העליונות אלא נוקט בדרך ביניים של הגדלת משקלה היחסי של הבחירה הדמוקרטית בהרכב הוועדה לבחירת שופטים מבלי להוציא ממנה את השופטים. כך גם נוצרת ועדה מאוזנת שמתאימה גם לבחירת השופטים בכלל הערכאות תוך שיתוף פעולה בין השופטים החברים בוועדה לבין דומיננטיות של הכרעה דמוקרטית בהרכב הוועדה, באופן שיבטיח ביטוי לערכיו המגוונים של הציבור בערכאות השונות ולציפיותיו של הציבור ממערכת המשפט באופן כללי.</w:t>
      </w:r>
    </w:p>
    <w:p w14:paraId="3AA6430C" w14:textId="77777777"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מוצע לקבוע משקל שווה לשלוש רשויות השלטון כאשר בוועדה יכהנו שלושה שרים, שלושה שופטים של בית המשפט העליון ושלושה ראשי ועדות של הכנסת: ועדת החוקה, חוק ומשפט, ועדת הכנסת והוועדה לביקורת המדינה. לצדם יכהנו שני נציגי ציבור שיבחר שר המשפטים כאשר האחד עורך דין והשני איננו, כדי שייצג נקודת מבט ציבורית של מי שאינו מגיע מתחום המשפטים. שני נציגי הציבור יחליפו את שני נציגי לשכת עורכי הדין שכיהנו עובר לחוק. אין הצדקה לחברותם של נציגי לשכת עורכי הדין בוועדה, שכן גוף זה איננו מייצג את הציבור הכללי, ואף ספק כמה הוא מייצג את ציבור עורכי הדין נוכח ההשתתפות הנמוכה בבחירות ללשכת עורכי הדין. את נציגי הציבור ימנה שר המשפטים </w:t>
      </w:r>
      <w:r w:rsidRPr="00613C0C">
        <w:rPr>
          <w:rFonts w:ascii="David" w:hAnsi="David"/>
          <w:sz w:val="26"/>
          <w:rtl/>
        </w:rPr>
        <w:lastRenderedPageBreak/>
        <w:t xml:space="preserve">שכן הוא זה אשר מונה בידי הכנסת להיות אמון על אינטרס הציבור בתחום המשפט. השר, כנציג עכשווי ומתחלף של הרוב, יבחר את נציגי הציבור בסמוך לכינונה של כנסת חדשה. </w:t>
      </w:r>
    </w:p>
    <w:p w14:paraId="176708E4" w14:textId="77777777" w:rsidR="00613C0C" w:rsidRPr="00613C0C" w:rsidRDefault="00613C0C" w:rsidP="00613C0C">
      <w:pPr>
        <w:pStyle w:val="Hesber"/>
        <w:spacing w:line="276" w:lineRule="auto"/>
        <w:rPr>
          <w:rFonts w:ascii="David" w:hAnsi="David"/>
          <w:sz w:val="26"/>
          <w:rtl/>
        </w:rPr>
      </w:pPr>
      <w:r w:rsidRPr="00613C0C">
        <w:rPr>
          <w:rFonts w:ascii="David" w:hAnsi="David"/>
          <w:sz w:val="26"/>
          <w:rtl/>
        </w:rPr>
        <w:t>הרכב ועדה כזה צפוי להניב לאורך שנים מצטברות הרכב מגוון ופלורליסטי של שופטים, באופן שייצג טוב יותר את מגוון הדעות והקהלים בישראל. במבט לאחור על זהותם של שרי המשפטים שכיהנו בישראל בעשרים השנים האחרונות ועל השקפות עולמם, ניתן לראות גיוון רב מאוד. יש בכך כדי להמחיש כיצד הרכב ועדה כזה צפוי להניב לאורך שנים מצטברות הרכב מגוון ופלורליסטי של בית המשפט. לבסוף יצוין כי כהונת ראש הוועדה לביקורת המדינה בוועדה לבחירת שופטים נועדה להבטיח סטטוטורית ייצוג קבוע של האופוזיציה בכנסת בהרכב הוועדה – עניין שלא תמיד נהג בעבר.</w:t>
      </w:r>
    </w:p>
    <w:p w14:paraId="66CCCB06" w14:textId="77777777" w:rsidR="00613C0C" w:rsidRPr="00613C0C" w:rsidRDefault="00613C0C" w:rsidP="00613C0C">
      <w:pPr>
        <w:pStyle w:val="Hesber"/>
        <w:spacing w:line="276" w:lineRule="auto"/>
        <w:rPr>
          <w:rFonts w:ascii="David" w:hAnsi="David"/>
          <w:sz w:val="26"/>
          <w:rtl/>
        </w:rPr>
      </w:pPr>
      <w:r w:rsidRPr="00613C0C">
        <w:rPr>
          <w:rFonts w:ascii="David" w:hAnsi="David"/>
          <w:sz w:val="26"/>
          <w:rtl/>
        </w:rPr>
        <w:t>לבסוף מוצע לתקן את סעיף 7 ולקבוע כי כדי להדיח שופט על ידי הוועדה תהיה דרושה תמיכה של תשעה חברים במקום שבעה. זאת, כדי להבטיח כי הדחת שופט תחייב הסכמה מצד נציגי שלוש רשויות השילטון כולן.</w:t>
      </w:r>
    </w:p>
    <w:p w14:paraId="599587DC" w14:textId="77777777" w:rsidR="00613C0C" w:rsidRPr="00613C0C" w:rsidRDefault="00613C0C" w:rsidP="00613C0C">
      <w:pPr>
        <w:pStyle w:val="Hesber"/>
        <w:spacing w:line="276" w:lineRule="auto"/>
        <w:rPr>
          <w:rFonts w:ascii="David" w:hAnsi="David"/>
          <w:sz w:val="26"/>
          <w:rtl/>
        </w:rPr>
      </w:pPr>
    </w:p>
    <w:p w14:paraId="5889E53A" w14:textId="77777777" w:rsidR="00613C0C" w:rsidRPr="00613C0C" w:rsidRDefault="00613C0C" w:rsidP="00613C0C">
      <w:pPr>
        <w:spacing w:line="276" w:lineRule="auto"/>
        <w:rPr>
          <w:rFonts w:ascii="David" w:hAnsi="David"/>
          <w:b/>
          <w:bCs/>
          <w:sz w:val="26"/>
          <w:szCs w:val="26"/>
          <w:rtl/>
        </w:rPr>
      </w:pPr>
      <w:r w:rsidRPr="00613C0C">
        <w:rPr>
          <w:rFonts w:ascii="David" w:hAnsi="David"/>
          <w:b/>
          <w:bCs/>
          <w:sz w:val="26"/>
          <w:szCs w:val="26"/>
          <w:rtl/>
        </w:rPr>
        <w:t xml:space="preserve">ביקורת שיפוטית  על </w:t>
      </w:r>
      <w:proofErr w:type="spellStart"/>
      <w:r w:rsidRPr="00613C0C">
        <w:rPr>
          <w:rFonts w:ascii="David" w:hAnsi="David"/>
          <w:b/>
          <w:bCs/>
          <w:sz w:val="26"/>
          <w:szCs w:val="26"/>
          <w:rtl/>
        </w:rPr>
        <w:t>חוקתיותם</w:t>
      </w:r>
      <w:proofErr w:type="spellEnd"/>
      <w:r w:rsidRPr="00613C0C">
        <w:rPr>
          <w:rFonts w:ascii="David" w:hAnsi="David"/>
          <w:b/>
          <w:bCs/>
          <w:sz w:val="26"/>
          <w:szCs w:val="26"/>
          <w:rtl/>
        </w:rPr>
        <w:t xml:space="preserve"> של חוקים והוראת התגברות</w:t>
      </w:r>
    </w:p>
    <w:p w14:paraId="3D2BC7E6" w14:textId="77777777" w:rsidR="00613C0C" w:rsidRPr="00613C0C" w:rsidRDefault="00613C0C" w:rsidP="00613C0C">
      <w:pPr>
        <w:spacing w:after="60" w:line="276" w:lineRule="auto"/>
        <w:rPr>
          <w:rFonts w:ascii="David" w:hAnsi="David"/>
          <w:sz w:val="26"/>
          <w:szCs w:val="26"/>
          <w:rtl/>
        </w:rPr>
      </w:pPr>
      <w:r w:rsidRPr="00613C0C">
        <w:rPr>
          <w:rFonts w:ascii="David" w:hAnsi="David"/>
          <w:sz w:val="26"/>
          <w:szCs w:val="26"/>
          <w:rtl/>
        </w:rPr>
        <w:t xml:space="preserve">מטרתו השנייה של חוק יסוד זה היא לקבוע לראשונה ביקורת שיפוטית על </w:t>
      </w:r>
      <w:proofErr w:type="spellStart"/>
      <w:r w:rsidRPr="00613C0C">
        <w:rPr>
          <w:rFonts w:ascii="David" w:hAnsi="David"/>
          <w:sz w:val="26"/>
          <w:szCs w:val="26"/>
          <w:rtl/>
        </w:rPr>
        <w:t>חוקתיותם</w:t>
      </w:r>
      <w:proofErr w:type="spellEnd"/>
      <w:r w:rsidRPr="00613C0C">
        <w:rPr>
          <w:rFonts w:ascii="David" w:hAnsi="David"/>
          <w:sz w:val="26"/>
          <w:szCs w:val="26"/>
          <w:rtl/>
        </w:rPr>
        <w:t xml:space="preserve"> של חוקים ולהגביל אותה לאמות המידה שקובע מחוקק היסוד. </w:t>
      </w:r>
    </w:p>
    <w:p w14:paraId="53A096A0" w14:textId="77777777" w:rsidR="00613C0C" w:rsidRPr="00613C0C" w:rsidRDefault="00613C0C" w:rsidP="00613C0C">
      <w:pPr>
        <w:spacing w:line="276" w:lineRule="auto"/>
        <w:rPr>
          <w:rFonts w:ascii="David" w:hAnsi="David"/>
          <w:sz w:val="26"/>
          <w:szCs w:val="26"/>
          <w:rtl/>
        </w:rPr>
      </w:pPr>
      <w:r w:rsidRPr="00613C0C">
        <w:rPr>
          <w:rFonts w:ascii="David" w:hAnsi="David"/>
          <w:sz w:val="26"/>
          <w:szCs w:val="26"/>
          <w:rtl/>
        </w:rPr>
        <w:t xml:space="preserve">מוצע להוסיף לחוק יסוד: השפיטה את סעיף 15א אשר יקבע מנגנון לביקורת שיפוטית על חוקים שהכנסת מחוקקת. הסעיף המוצע קובע כי בטלותם של חוקים רגילים שעומדים בסתירה לחוקי יסוד איננה אוטומטית וכי רק בית המשפט העליון, בהרכב מלא של כל שופטיו, למעט שופטים שנבצר מהם להשתתף בדיון במשך למעלה מ 30 יום מיום שנדרש בית המשפט העליון להכריע </w:t>
      </w:r>
      <w:proofErr w:type="spellStart"/>
      <w:r w:rsidRPr="00613C0C">
        <w:rPr>
          <w:rFonts w:ascii="David" w:hAnsi="David"/>
          <w:sz w:val="26"/>
          <w:szCs w:val="26"/>
          <w:rtl/>
        </w:rPr>
        <w:t>בענין</w:t>
      </w:r>
      <w:proofErr w:type="spellEnd"/>
      <w:r w:rsidRPr="00613C0C">
        <w:rPr>
          <w:rFonts w:ascii="David" w:hAnsi="David"/>
          <w:sz w:val="26"/>
          <w:szCs w:val="26"/>
          <w:rtl/>
        </w:rPr>
        <w:t>, רשאי לדון בפסילתו של חוק. זאת, הן כדי להבטיח דיון מקיף וממצה עם מגוון העמדות שיש לבית המשפט העליון והן כדי למנוע השפעה על הדיון בשל אקראיות ההרכב שידון בו. עוד מוצע כי הרוב הדרוש לפסילתו של חוק בידי בית המשפט יהיה רוב של שמונים אחוזים מכלל השופטים המכהנים בבית המשפט העליון, מתוך תפיסה שביטול הבחירה הדמוקרטית של הציבור הוא אירוע חריג שבחריגים ואם קיים ספק שמוביל כמה שופטים להתנגד לביטולו של החוק, הרי שיש להשאיר את בחירתו הדמוקרטית של הציבור באמצעות נבחריו על כנה. עמדה זו היא גם ביטוי לעובדה בישראל טרם גובשה חוקה מלאה ומוסכמת. לפיכך, פסילת חקיקה על בסיס חקיקת יסוד צריכה להיעשות בהסכמה שיפוטית רחבה.</w:t>
      </w:r>
    </w:p>
    <w:p w14:paraId="52BF4A52" w14:textId="77777777" w:rsidR="00613C0C" w:rsidRPr="00613C0C" w:rsidRDefault="00613C0C" w:rsidP="00613C0C">
      <w:pPr>
        <w:spacing w:line="276" w:lineRule="auto"/>
        <w:rPr>
          <w:rFonts w:ascii="David" w:hAnsi="David"/>
          <w:sz w:val="26"/>
          <w:szCs w:val="26"/>
          <w:rtl/>
        </w:rPr>
      </w:pPr>
      <w:r w:rsidRPr="00613C0C">
        <w:rPr>
          <w:rFonts w:ascii="David" w:hAnsi="David"/>
          <w:sz w:val="26"/>
          <w:szCs w:val="26"/>
          <w:rtl/>
        </w:rPr>
        <w:t>הצעת חוק יסוד זו תוחמת את העילות לביקורת חוקים רגילים של הכנסת לחוסר הלימה לחוקי יסוד בלבד. לצד זאת ההצעה קובעת עליונות מוחלטת של חוקי היסוד ושוללת ביקורת שיפוטית עליהם, כדי להבטיח את כפיפות בית המשפט לשלטון החוק ולמקור סמכות דמוקרטי. זאת, בדומה למרבית מדינות העולם המערבי שלא נוהגת בהן ביקורת שיפוטית על הנורמה החוקתית.</w:t>
      </w:r>
    </w:p>
    <w:p w14:paraId="0F930F99" w14:textId="77777777" w:rsidR="00613C0C" w:rsidRPr="00613C0C" w:rsidRDefault="00613C0C" w:rsidP="00613C0C">
      <w:pPr>
        <w:spacing w:line="276" w:lineRule="auto"/>
        <w:rPr>
          <w:rFonts w:ascii="David" w:hAnsi="David"/>
          <w:b/>
          <w:bCs/>
          <w:sz w:val="26"/>
          <w:szCs w:val="26"/>
          <w:rtl/>
        </w:rPr>
      </w:pPr>
      <w:r w:rsidRPr="00613C0C">
        <w:rPr>
          <w:rFonts w:ascii="David" w:hAnsi="David"/>
          <w:sz w:val="26"/>
          <w:szCs w:val="26"/>
          <w:rtl/>
        </w:rPr>
        <w:t xml:space="preserve">לפי ההסדר המוצע, כל רשות שיפוטית שיתעורר בפניה ספק בדבר תוקפו של חוק, תהא רשאית לדחות את הטענה. ואולם אם סבורה אותה רשות שיפוטית כי יש לבטל או להגביל את תוקפו של חוק, והיא תמצא כי לא ניתן להכריע </w:t>
      </w:r>
      <w:proofErr w:type="spellStart"/>
      <w:r w:rsidRPr="00613C0C">
        <w:rPr>
          <w:rFonts w:ascii="David" w:hAnsi="David"/>
          <w:sz w:val="26"/>
          <w:szCs w:val="26"/>
          <w:rtl/>
        </w:rPr>
        <w:t>בענין</w:t>
      </w:r>
      <w:proofErr w:type="spellEnd"/>
      <w:r w:rsidRPr="00613C0C">
        <w:rPr>
          <w:rFonts w:ascii="David" w:hAnsi="David"/>
          <w:sz w:val="26"/>
          <w:szCs w:val="26"/>
          <w:rtl/>
        </w:rPr>
        <w:t xml:space="preserve"> שבפניה בלי להכריע בשאלת תוקפו של החוק, תאפשר לצדדים להעלות את השאלה ישירות לבית המשפט העליון באמצעות עתירה לביטול החוק. בית המשפט העליון יהיה רשאי לדחות עתירות שכאלה בהרכב של שלושה שופטים, ורק אם סבור בית המשפט העליון כי אין מנוס מדיון בתוקפו של חוק, </w:t>
      </w:r>
      <w:proofErr w:type="spellStart"/>
      <w:r w:rsidRPr="00613C0C">
        <w:rPr>
          <w:rFonts w:ascii="David" w:hAnsi="David"/>
          <w:sz w:val="26"/>
          <w:szCs w:val="26"/>
          <w:rtl/>
        </w:rPr>
        <w:t>ייתכנס</w:t>
      </w:r>
      <w:proofErr w:type="spellEnd"/>
      <w:r w:rsidRPr="00613C0C">
        <w:rPr>
          <w:rFonts w:ascii="David" w:hAnsi="David"/>
          <w:sz w:val="26"/>
          <w:szCs w:val="26"/>
          <w:rtl/>
        </w:rPr>
        <w:t xml:space="preserve"> לשם כך בית המשפט העליון בהרכבו המלא.</w:t>
      </w:r>
    </w:p>
    <w:p w14:paraId="17CA11F6" w14:textId="77777777" w:rsidR="00613C0C" w:rsidRPr="00613C0C" w:rsidRDefault="00613C0C" w:rsidP="00613C0C">
      <w:pPr>
        <w:spacing w:line="276" w:lineRule="auto"/>
        <w:rPr>
          <w:rFonts w:ascii="David" w:hAnsi="David"/>
          <w:sz w:val="26"/>
          <w:szCs w:val="26"/>
          <w:rtl/>
        </w:rPr>
      </w:pPr>
      <w:r w:rsidRPr="00613C0C">
        <w:rPr>
          <w:rFonts w:ascii="David" w:hAnsi="David"/>
          <w:sz w:val="26"/>
          <w:szCs w:val="26"/>
          <w:rtl/>
        </w:rPr>
        <w:t xml:space="preserve">חוק-יסוד זה מעגן הוראת התגברות שבאמצעותה יכולה הכנסת לדחות פרשנות שנתן בית המשפט העליון לחוק היסוד או איזון מסוים שקבע בין ערכים או אינטרסים, ולהתגבר על פסיקת בית המשפט העליון הפוסלת חוק. לפי המוצע, הכנסת תהיה רשאית, בתנאים מסוימים, להתגבר על פסיקה שיפוטית המבטלת חוק באמצעות הוראת התגברות. הרעיון שעומד ביסודה של הוראת התגברות איננו פטור של הכנסת מן המחויבות לערכי החוקה </w:t>
      </w:r>
      <w:r w:rsidRPr="00613C0C">
        <w:rPr>
          <w:rFonts w:ascii="David" w:hAnsi="David"/>
          <w:sz w:val="26"/>
          <w:szCs w:val="26"/>
          <w:rtl/>
        </w:rPr>
        <w:lastRenderedPageBreak/>
        <w:t xml:space="preserve">אלא מתן אפשרות למחוקק להכריע אחרת מבית המשפט בשאלה של איזון בין ערכים ובחינת שאלות המידתיות הכרוכות בהתנגשות ביניהם. </w:t>
      </w:r>
    </w:p>
    <w:p w14:paraId="3E1FD8BE" w14:textId="77777777" w:rsidR="00613C0C" w:rsidRPr="00613C0C" w:rsidRDefault="00613C0C" w:rsidP="00613C0C">
      <w:pPr>
        <w:spacing w:line="276" w:lineRule="auto"/>
        <w:rPr>
          <w:rFonts w:ascii="David" w:hAnsi="David"/>
          <w:sz w:val="26"/>
          <w:szCs w:val="26"/>
          <w:rtl/>
        </w:rPr>
      </w:pPr>
      <w:r w:rsidRPr="00613C0C">
        <w:rPr>
          <w:rFonts w:ascii="David" w:hAnsi="David"/>
          <w:sz w:val="26"/>
          <w:szCs w:val="26"/>
          <w:rtl/>
        </w:rPr>
        <w:t>מוצע כי אם פסל בית המשפט העליון הוראת חוק בהסכמת כלל שופטיו – לא תוכל הכנסת שחוקקה אותו להתגבר על פסיקה זו של בית המשפט העליון בתקופת כהונתה.</w:t>
      </w:r>
    </w:p>
    <w:p w14:paraId="66CACAB6" w14:textId="77777777" w:rsidR="00613C0C" w:rsidRPr="00613C0C" w:rsidRDefault="00613C0C" w:rsidP="00613C0C">
      <w:pPr>
        <w:spacing w:line="276" w:lineRule="auto"/>
        <w:rPr>
          <w:rFonts w:ascii="David" w:hAnsi="David"/>
          <w:sz w:val="26"/>
          <w:szCs w:val="26"/>
          <w:rtl/>
        </w:rPr>
      </w:pPr>
      <w:r w:rsidRPr="00613C0C">
        <w:rPr>
          <w:rFonts w:ascii="David" w:hAnsi="David"/>
          <w:sz w:val="26"/>
          <w:szCs w:val="26"/>
          <w:rtl/>
        </w:rPr>
        <w:t xml:space="preserve">לעומת זאת, אם פסיקת בית המשפט הפוסלת חקיקה ראשית של כנסת התקבלה שלא בהסכמת כלל שופטיו, מוצע כי הכנסת תוכל להתגבר על פסיקת בית המשפט הפוסלת חוק ברוב של 61 חברי הכנסת וזאת אם קבעה הכנסת במפורש כי החוק יעמוד בתוקפו על אף פסיקת בית המשפט. ההתגברות תהיה בתוקף עד לכהונתה של הכנסת הבאה, אשר תוכל לבחון אותה מחדש. לשם כך נקבע כי תוקף ההתגברות מוגבל למשך ארבע שנים או עד לתום שנה מתחילת כהונתה של הכנסת המכהנת לאחר הכנסת שחוקקה את חוק ההתגברות, לפי המאוחר. מודל התגברות זה, שאין בו אפשרות להתגברות מראש, מאפשר דו-שיח תקין ומועיל בין הרשויות, וכי הכנסת תראה לנגד עיניה את פסק דינו המנומק של בית המשפט בטרם תחליט לנקוט בצעד חריג של התגברות. </w:t>
      </w:r>
    </w:p>
    <w:p w14:paraId="0CCF9238" w14:textId="77777777" w:rsidR="00613C0C" w:rsidRPr="00613C0C" w:rsidRDefault="00613C0C" w:rsidP="00613C0C">
      <w:pPr>
        <w:spacing w:line="276" w:lineRule="auto"/>
        <w:rPr>
          <w:rFonts w:ascii="David" w:hAnsi="David"/>
          <w:sz w:val="26"/>
          <w:szCs w:val="26"/>
          <w:rtl/>
        </w:rPr>
      </w:pPr>
      <w:r w:rsidRPr="00613C0C">
        <w:rPr>
          <w:rFonts w:ascii="David" w:hAnsi="David"/>
          <w:sz w:val="26"/>
          <w:szCs w:val="26"/>
          <w:rtl/>
        </w:rPr>
        <w:t>כמו כן מוצע כי הכנסת תוכל להתגבר גם על פסיקה לביטול חוק שנתן בית המשפט פה אחד, אולם רק אם הכנסת שחוקקה את הוראת ההתגברות היא כנסת שונה מזו שחוקקה את החוק שנפסל בידי בית המשפט, באופן המבטא תמיכה של שתי כנסות שונות בהכרעה הערכית המנוגדת לזו של בית המשפט. העובדה שהציבור מביע את עמדתו בתווך באמצעות בחירות כלליות, שמדובר בשיקול דעת ערכי של שתי כנסות שונות ושהתמריץ השלילי לחקיקה מידית מנוטרל, מצדיקה להשיב את ההכרעה הסופית לעם ולנבחריו. במקרה כזה, כמו גם במקרה שבו נחקקה הוראת התגברות רגילה בשתי כנסות שונות, הוראת ההתגברות תהיה קבועה.</w:t>
      </w:r>
    </w:p>
    <w:p w14:paraId="1229299D" w14:textId="77777777" w:rsidR="00613C0C" w:rsidRPr="00613C0C" w:rsidRDefault="00613C0C" w:rsidP="00613C0C">
      <w:pPr>
        <w:spacing w:line="276" w:lineRule="auto"/>
        <w:rPr>
          <w:rFonts w:ascii="David" w:hAnsi="David"/>
          <w:b/>
          <w:bCs/>
          <w:sz w:val="26"/>
          <w:szCs w:val="26"/>
          <w:rtl/>
        </w:rPr>
      </w:pPr>
    </w:p>
    <w:p w14:paraId="502E3983" w14:textId="77777777" w:rsidR="00613C0C" w:rsidRPr="00613C0C" w:rsidRDefault="00613C0C" w:rsidP="00613C0C">
      <w:pPr>
        <w:spacing w:line="276" w:lineRule="auto"/>
        <w:rPr>
          <w:rFonts w:ascii="David" w:hAnsi="David"/>
          <w:b/>
          <w:bCs/>
          <w:sz w:val="26"/>
          <w:szCs w:val="26"/>
          <w:rtl/>
        </w:rPr>
      </w:pPr>
      <w:r w:rsidRPr="00613C0C">
        <w:rPr>
          <w:rFonts w:ascii="David" w:hAnsi="David"/>
          <w:b/>
          <w:bCs/>
          <w:sz w:val="26"/>
          <w:szCs w:val="26"/>
          <w:rtl/>
        </w:rPr>
        <w:t>ביטול עילת חוסר הסבירות</w:t>
      </w:r>
    </w:p>
    <w:p w14:paraId="18612963" w14:textId="77777777" w:rsidR="00613C0C" w:rsidRPr="00613C0C" w:rsidRDefault="00613C0C" w:rsidP="00613C0C">
      <w:pPr>
        <w:pStyle w:val="p00"/>
        <w:bidi/>
        <w:spacing w:before="72" w:beforeAutospacing="0" w:after="0" w:afterAutospacing="0" w:line="276" w:lineRule="auto"/>
        <w:jc w:val="both"/>
        <w:rPr>
          <w:rFonts w:ascii="David" w:hAnsi="David" w:cs="David"/>
          <w:color w:val="000000"/>
          <w:sz w:val="26"/>
          <w:szCs w:val="26"/>
          <w:rtl/>
        </w:rPr>
      </w:pPr>
      <w:r w:rsidRPr="00613C0C">
        <w:rPr>
          <w:rFonts w:ascii="David" w:hAnsi="David" w:cs="David"/>
          <w:color w:val="000000"/>
          <w:sz w:val="26"/>
          <w:szCs w:val="26"/>
          <w:rtl/>
        </w:rPr>
        <w:t xml:space="preserve">לבסוף מוצע לקבוע בסעיף 15ב ביטול של עילת חוסר הסבירות שהתפתחה בפסיקה הישראלית. הממשלה מחויבת לפעול לפי חוק בגבולות הסמכות שניתנה לה ובהליך הוגן. אולם הפסיקה הישראלית פיתחה בעשורים האחרונים עילת התערבות חריגה במעשי הממשלה כל אימת שבית המשפט סבור כי החלטת הממשלה או השר איננה סבירה. כפי שהזהיר בשעתו נשיא בית המשפט העליון משה </w:t>
      </w:r>
      <w:proofErr w:type="spellStart"/>
      <w:r w:rsidRPr="00613C0C">
        <w:rPr>
          <w:rFonts w:ascii="David" w:hAnsi="David" w:cs="David"/>
          <w:color w:val="000000"/>
          <w:sz w:val="26"/>
          <w:szCs w:val="26"/>
          <w:rtl/>
        </w:rPr>
        <w:t>לנדוי</w:t>
      </w:r>
      <w:proofErr w:type="spellEnd"/>
      <w:r w:rsidRPr="00613C0C">
        <w:rPr>
          <w:rFonts w:ascii="David" w:hAnsi="David" w:cs="David"/>
          <w:color w:val="000000"/>
          <w:sz w:val="26"/>
          <w:szCs w:val="26"/>
          <w:rtl/>
        </w:rPr>
        <w:t xml:space="preserve"> המנוח, באמצו את עילת חוסר הסבירות שם בית המשפט עצמו בנעליה של הרשות המבצעת והחליף את שיקול דעתה (ראו: </w:t>
      </w:r>
      <w:r w:rsidRPr="00613C0C">
        <w:rPr>
          <w:rFonts w:ascii="David" w:hAnsi="David" w:cs="David"/>
          <w:sz w:val="26"/>
          <w:szCs w:val="26"/>
          <w:rtl/>
        </w:rPr>
        <w:t xml:space="preserve">בג"ץ 389/80 </w:t>
      </w:r>
      <w:r w:rsidRPr="00613C0C">
        <w:rPr>
          <w:rFonts w:ascii="David" w:hAnsi="David" w:cs="David"/>
          <w:b/>
          <w:bCs/>
          <w:sz w:val="26"/>
          <w:szCs w:val="26"/>
          <w:rtl/>
        </w:rPr>
        <w:t>דפי זהב בע"מ נ' רשות השידור</w:t>
      </w:r>
      <w:r w:rsidRPr="00613C0C">
        <w:rPr>
          <w:rFonts w:ascii="David" w:hAnsi="David" w:cs="David"/>
          <w:sz w:val="26"/>
          <w:szCs w:val="26"/>
          <w:rtl/>
        </w:rPr>
        <w:t xml:space="preserve">, לה(1) 421, (1980)). </w:t>
      </w:r>
      <w:r w:rsidRPr="00613C0C">
        <w:rPr>
          <w:rFonts w:ascii="David" w:hAnsi="David" w:cs="David"/>
          <w:color w:val="000000"/>
          <w:sz w:val="26"/>
          <w:szCs w:val="26"/>
          <w:rtl/>
        </w:rPr>
        <w:t xml:space="preserve">כתוצאה מאימוץ עילת הסבירות כעילה לפסילת שיקול דעתו של בעל הסמכות החוקית, יועצים משפטיים מתערבים תדיר בשיקול הדעת שהמחוקק הפקיד בידי הממשלה ושריה בכל סוג של החלטה או מינוי. </w:t>
      </w:r>
    </w:p>
    <w:p w14:paraId="627D89CA" w14:textId="77777777" w:rsidR="00613C0C" w:rsidRPr="00613C0C" w:rsidRDefault="00613C0C" w:rsidP="00613C0C">
      <w:pPr>
        <w:pStyle w:val="p00"/>
        <w:bidi/>
        <w:spacing w:before="72" w:beforeAutospacing="0" w:after="0" w:afterAutospacing="0" w:line="276" w:lineRule="auto"/>
        <w:jc w:val="both"/>
        <w:rPr>
          <w:rFonts w:ascii="David" w:hAnsi="David" w:cs="David"/>
          <w:color w:val="000000"/>
          <w:sz w:val="26"/>
          <w:szCs w:val="26"/>
          <w:rtl/>
        </w:rPr>
      </w:pPr>
      <w:r w:rsidRPr="00613C0C">
        <w:rPr>
          <w:rFonts w:ascii="David" w:hAnsi="David" w:cs="David"/>
          <w:color w:val="000000"/>
          <w:sz w:val="26"/>
          <w:szCs w:val="26"/>
          <w:rtl/>
        </w:rPr>
        <w:t xml:space="preserve">ביקורת סבירות שיקול הדעת של הרשות </w:t>
      </w:r>
      <w:proofErr w:type="spellStart"/>
      <w:r w:rsidRPr="00613C0C">
        <w:rPr>
          <w:rFonts w:ascii="David" w:hAnsi="David" w:cs="David"/>
          <w:color w:val="000000"/>
          <w:sz w:val="26"/>
          <w:szCs w:val="26"/>
          <w:rtl/>
        </w:rPr>
        <w:t>המינהלית</w:t>
      </w:r>
      <w:proofErr w:type="spellEnd"/>
      <w:r w:rsidRPr="00613C0C">
        <w:rPr>
          <w:rFonts w:ascii="David" w:hAnsi="David" w:cs="David"/>
          <w:color w:val="000000"/>
          <w:sz w:val="26"/>
          <w:szCs w:val="26"/>
          <w:rtl/>
        </w:rPr>
        <w:t xml:space="preserve"> מסורה לכנסת שנותנת אמון בממשלה ולציבור שבוחר בה, והיא אינה עניין להכרעה שיפוטית. בית המשפט מעולם לא קיבל סמכות להחליף את שיקול דעתן של רשויות השילטון האחרות ואין להניח ששיקול דעתו נכון יותר. עילה עמומה שכזו אף פוגעת בוודאות המשפטית והיא פותחת פתח לפסיקה שאיננה עקבית. בכך היא פוגעת באמון הציבור שעלול לקבל את הרושם שענייניו המשפטיים כפופים להכרעה סובייקטיבית </w:t>
      </w:r>
      <w:proofErr w:type="spellStart"/>
      <w:r w:rsidRPr="00613C0C">
        <w:rPr>
          <w:rFonts w:ascii="David" w:hAnsi="David" w:cs="David"/>
          <w:color w:val="000000"/>
          <w:sz w:val="26"/>
          <w:szCs w:val="26"/>
          <w:rtl/>
        </w:rPr>
        <w:t>באופיה</w:t>
      </w:r>
      <w:proofErr w:type="spellEnd"/>
      <w:r w:rsidRPr="00613C0C">
        <w:rPr>
          <w:rFonts w:ascii="David" w:hAnsi="David" w:cs="David"/>
          <w:color w:val="000000"/>
          <w:sz w:val="26"/>
          <w:szCs w:val="26"/>
          <w:rtl/>
        </w:rPr>
        <w:t xml:space="preserve">. היא גם מתמרצת הצפה של בתי המשפט בעתירות שעניינן הימור על עמדתו הסובייקטיבית של השופט. לפיכך מוצע לבטל את עילת חוסר הסבירות ולהחזיר את הביקורת השיפוטית על מעשי </w:t>
      </w:r>
      <w:proofErr w:type="spellStart"/>
      <w:r w:rsidRPr="00613C0C">
        <w:rPr>
          <w:rFonts w:ascii="David" w:hAnsi="David" w:cs="David"/>
          <w:color w:val="000000"/>
          <w:sz w:val="26"/>
          <w:szCs w:val="26"/>
          <w:rtl/>
        </w:rPr>
        <w:t>המינהל</w:t>
      </w:r>
      <w:proofErr w:type="spellEnd"/>
      <w:r w:rsidRPr="00613C0C">
        <w:rPr>
          <w:rFonts w:ascii="David" w:hAnsi="David" w:cs="David"/>
          <w:color w:val="000000"/>
          <w:sz w:val="26"/>
          <w:szCs w:val="26"/>
          <w:rtl/>
        </w:rPr>
        <w:t xml:space="preserve"> למיקוד הראוי לה בשאלות של חוסר-סמכות, תקינות ההליך ועמידה בדרישות חוקים מפורשים. </w:t>
      </w:r>
    </w:p>
    <w:p w14:paraId="051BE786" w14:textId="77777777" w:rsidR="00613C0C" w:rsidRPr="00613C0C" w:rsidRDefault="00613C0C" w:rsidP="00613C0C">
      <w:pPr>
        <w:rPr>
          <w:rFonts w:ascii="David" w:hAnsi="David"/>
          <w:sz w:val="26"/>
          <w:szCs w:val="26"/>
          <w:rtl/>
        </w:rPr>
      </w:pPr>
      <w:r w:rsidRPr="00613C0C">
        <w:rPr>
          <w:rFonts w:ascii="David" w:hAnsi="David"/>
          <w:sz w:val="26"/>
          <w:szCs w:val="26"/>
          <w:rtl/>
        </w:rPr>
        <w:t xml:space="preserve">   </w:t>
      </w:r>
    </w:p>
    <w:p w14:paraId="1A8DAAB1" w14:textId="77777777" w:rsidR="00613C0C" w:rsidRPr="00613C0C" w:rsidRDefault="00613C0C" w:rsidP="00613C0C">
      <w:pPr>
        <w:rPr>
          <w:rFonts w:ascii="David" w:hAnsi="David"/>
          <w:b/>
          <w:bCs/>
          <w:sz w:val="26"/>
          <w:szCs w:val="26"/>
          <w:rtl/>
        </w:rPr>
      </w:pPr>
      <w:r w:rsidRPr="00613C0C">
        <w:rPr>
          <w:rStyle w:val="default"/>
          <w:rFonts w:ascii="David" w:hAnsi="David" w:cs="David"/>
          <w:b/>
          <w:bCs/>
          <w:vanish/>
          <w:color w:val="FF0000"/>
          <w:shd w:val="clear" w:color="auto" w:fill="FFFF99"/>
          <w:rtl/>
        </w:rPr>
        <w:t>מיום 22.2.1991</w:t>
      </w:r>
      <w:r w:rsidRPr="00613C0C">
        <w:rPr>
          <w:rStyle w:val="default"/>
          <w:rFonts w:ascii="David" w:hAnsi="David" w:cs="David"/>
          <w:vanish/>
          <w:color w:val="FF0000"/>
          <w:shd w:val="clear" w:color="auto" w:fill="FFFF99"/>
          <w:rtl/>
        </w:rPr>
        <w:t>מיום 22.2.1991תיעשה על בסימיום 22.2.1991</w:t>
      </w:r>
      <w:r w:rsidRPr="00613C0C">
        <w:rPr>
          <w:rStyle w:val="default"/>
          <w:rFonts w:ascii="David" w:hAnsi="David" w:cs="David"/>
          <w:b/>
          <w:bCs/>
          <w:vanish/>
          <w:color w:val="FF0000"/>
          <w:shd w:val="clear" w:color="auto" w:fill="FFFF99"/>
          <w:rtl/>
        </w:rPr>
        <w:t>מיום 22.2.1991</w:t>
      </w:r>
      <w:r w:rsidRPr="00613C0C">
        <w:rPr>
          <w:rStyle w:val="default"/>
          <w:rFonts w:ascii="David" w:hAnsi="David" w:cs="David"/>
          <w:vanish/>
          <w:color w:val="FF0000"/>
          <w:shd w:val="clear" w:color="auto" w:fill="FFFF99"/>
          <w:rtl/>
        </w:rPr>
        <w:t>מיום 22.2.1991תיעשה על בסימיום 22.2.1991מיום 22.2.1991תיעשה על בסימיום 22.2.1991מיום 22.2.1991</w:t>
      </w:r>
      <w:r w:rsidRPr="00613C0C">
        <w:rPr>
          <w:rFonts w:ascii="David" w:hAnsi="David"/>
          <w:noProof/>
          <w:sz w:val="26"/>
          <w:szCs w:val="26"/>
          <w:rtl/>
        </w:rPr>
        <mc:AlternateContent>
          <mc:Choice Requires="wps">
            <w:drawing>
              <wp:anchor distT="0" distB="0" distL="114300" distR="114300" simplePos="0" relativeHeight="251660288" behindDoc="0" locked="1" layoutInCell="0" allowOverlap="1" wp14:anchorId="4A778239" wp14:editId="65CB9434">
                <wp:simplePos x="0" y="0"/>
                <wp:positionH relativeFrom="column">
                  <wp:posOffset>6040755</wp:posOffset>
                </wp:positionH>
                <wp:positionV relativeFrom="paragraph">
                  <wp:posOffset>102235</wp:posOffset>
                </wp:positionV>
                <wp:extent cx="811530" cy="711200"/>
                <wp:effectExtent l="0" t="3175" r="0" b="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14:paraId="6EF9EB0E" w14:textId="77777777" w:rsidR="00613C0C" w:rsidRDefault="00613C0C" w:rsidP="00613C0C">
                            <w:pPr>
                              <w:spacing w:line="160" w:lineRule="exact"/>
                              <w:rPr>
                                <w:rFonts w:cs="Miriam"/>
                                <w:sz w:val="18"/>
                                <w:szCs w:val="18"/>
                                <w:rtl/>
                              </w:rPr>
                            </w:pPr>
                          </w:p>
                          <w:p w14:paraId="04BB76B8" w14:textId="77777777" w:rsidR="00613C0C" w:rsidRDefault="00613C0C" w:rsidP="00613C0C">
                            <w:pPr>
                              <w:spacing w:line="160" w:lineRule="exact"/>
                              <w:rPr>
                                <w:rFonts w:cs="Miriam"/>
                                <w:sz w:val="18"/>
                                <w:szCs w:val="18"/>
                                <w:rtl/>
                              </w:rPr>
                            </w:pPr>
                          </w:p>
                          <w:p w14:paraId="26C6236C" w14:textId="77777777"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78239" id="מלבן 4" o:spid="_x0000_s1026" style="position:absolute;left:0;text-align:left;margin-left:475.65pt;margin-top:8.05pt;width:63.9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" o:allowincell="f" filled="f" stroked="f" strokecolor="lime" strokeweight=".25pt">
                <v:textbox inset="0,0,0,0">
                  <w:txbxContent>
                    <w:p w14:paraId="6EF9EB0E" w14:textId="77777777" w:rsidR="00613C0C" w:rsidRDefault="00613C0C" w:rsidP="00613C0C">
                      <w:pPr>
                        <w:spacing w:line="160" w:lineRule="exact"/>
                        <w:rPr>
                          <w:rFonts w:cs="Miriam"/>
                          <w:sz w:val="18"/>
                          <w:szCs w:val="18"/>
                          <w:rtl/>
                        </w:rPr>
                      </w:pPr>
                    </w:p>
                    <w:p w14:paraId="04BB76B8" w14:textId="77777777" w:rsidR="00613C0C" w:rsidRDefault="00613C0C" w:rsidP="00613C0C">
                      <w:pPr>
                        <w:spacing w:line="160" w:lineRule="exact"/>
                        <w:rPr>
                          <w:rFonts w:cs="Miriam"/>
                          <w:sz w:val="18"/>
                          <w:szCs w:val="18"/>
                          <w:rtl/>
                        </w:rPr>
                      </w:pPr>
                    </w:p>
                    <w:p w14:paraId="26C6236C" w14:textId="77777777"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v:textbox>
                <w10:anchorlock/>
              </v:rect>
            </w:pict>
          </mc:Fallback>
        </mc:AlternateContent>
      </w:r>
      <w:r w:rsidRPr="00613C0C">
        <w:rPr>
          <w:rFonts w:ascii="David" w:hAnsi="David"/>
          <w:noProof/>
          <w:sz w:val="26"/>
          <w:szCs w:val="26"/>
          <w:rtl/>
        </w:rPr>
        <mc:AlternateContent>
          <mc:Choice Requires="wps">
            <w:drawing>
              <wp:anchor distT="0" distB="0" distL="114300" distR="114300" simplePos="0" relativeHeight="251659264" behindDoc="0" locked="1" layoutInCell="0" allowOverlap="1" wp14:anchorId="4E018461" wp14:editId="2B404FE3">
                <wp:simplePos x="0" y="0"/>
                <wp:positionH relativeFrom="column">
                  <wp:posOffset>6040755</wp:posOffset>
                </wp:positionH>
                <wp:positionV relativeFrom="paragraph">
                  <wp:posOffset>102235</wp:posOffset>
                </wp:positionV>
                <wp:extent cx="811530" cy="711200"/>
                <wp:effectExtent l="0" t="3175" r="0" b="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14:paraId="1818A492" w14:textId="77777777" w:rsidR="00613C0C" w:rsidRDefault="00613C0C" w:rsidP="00613C0C">
                            <w:pPr>
                              <w:spacing w:line="160" w:lineRule="exact"/>
                              <w:rPr>
                                <w:rFonts w:cs="Miriam"/>
                                <w:sz w:val="18"/>
                                <w:szCs w:val="18"/>
                                <w:rtl/>
                              </w:rPr>
                            </w:pPr>
                          </w:p>
                          <w:p w14:paraId="046E3EC6" w14:textId="77777777" w:rsidR="00613C0C" w:rsidRDefault="00613C0C" w:rsidP="00613C0C">
                            <w:pPr>
                              <w:spacing w:line="160" w:lineRule="exact"/>
                              <w:rPr>
                                <w:rFonts w:cs="Miriam"/>
                                <w:sz w:val="18"/>
                                <w:szCs w:val="18"/>
                                <w:rtl/>
                              </w:rPr>
                            </w:pPr>
                          </w:p>
                          <w:p w14:paraId="146ADB38" w14:textId="77777777"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18461" id="מלבן 3" o:spid="_x0000_s1027" style="position:absolute;left:0;text-align:left;margin-left:475.65pt;margin-top:8.05pt;width:63.9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" o:allowincell="f" filled="f" stroked="f" strokecolor="lime" strokeweight=".25pt">
                <v:textbox inset="0,0,0,0">
                  <w:txbxContent>
                    <w:p w14:paraId="1818A492" w14:textId="77777777" w:rsidR="00613C0C" w:rsidRDefault="00613C0C" w:rsidP="00613C0C">
                      <w:pPr>
                        <w:spacing w:line="160" w:lineRule="exact"/>
                        <w:rPr>
                          <w:rFonts w:cs="Miriam"/>
                          <w:sz w:val="18"/>
                          <w:szCs w:val="18"/>
                          <w:rtl/>
                        </w:rPr>
                      </w:pPr>
                    </w:p>
                    <w:p w14:paraId="046E3EC6" w14:textId="77777777" w:rsidR="00613C0C" w:rsidRDefault="00613C0C" w:rsidP="00613C0C">
                      <w:pPr>
                        <w:spacing w:line="160" w:lineRule="exact"/>
                        <w:rPr>
                          <w:rFonts w:cs="Miriam"/>
                          <w:sz w:val="18"/>
                          <w:szCs w:val="18"/>
                          <w:rtl/>
                        </w:rPr>
                      </w:pPr>
                    </w:p>
                    <w:p w14:paraId="146ADB38" w14:textId="77777777"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v:textbox>
                <w10:anchorlock/>
              </v:rect>
            </w:pict>
          </mc:Fallback>
        </mc:AlternateContent>
      </w:r>
      <w:bookmarkStart w:id="0" w:name="FS000000462T31_10_2007_13_01_20"/>
      <w:bookmarkEnd w:id="0"/>
      <w:r w:rsidRPr="00613C0C">
        <w:rPr>
          <w:rStyle w:val="default"/>
          <w:rFonts w:ascii="David" w:hAnsi="David" w:cs="David"/>
          <w:vanish/>
          <w:color w:val="FF0000"/>
          <w:shd w:val="clear" w:color="auto" w:fill="FFFF99"/>
          <w:rtl/>
        </w:rPr>
        <w:t>מיום 22.2.1991תיעשה על בסימיום 22.2.1991מיום 22.2.1991תיעשה על בסימיום 22.2.1991</w:t>
      </w:r>
      <w:bookmarkStart w:id="1" w:name="FS000004398T01_04_2008_17_12_32"/>
      <w:bookmarkStart w:id="2" w:name="_TOC194855997"/>
      <w:bookmarkStart w:id="3" w:name="FS000004398T01_04_2008_17_48_24"/>
      <w:bookmarkStart w:id="4" w:name="FS000004398T01_04_2008_17_48_32"/>
      <w:bookmarkStart w:id="5" w:name="FS000004398T01_04_2008_17_48_36C"/>
      <w:bookmarkStart w:id="6" w:name="FS000004398T01_04_2008_17_13_06C"/>
      <w:bookmarkStart w:id="7" w:name="FS000004398T01_04_2008_17_13_13C"/>
      <w:bookmarkStart w:id="8" w:name="FS000004398T01_04_2008_17_13_23C"/>
      <w:bookmarkEnd w:id="1"/>
      <w:bookmarkEnd w:id="2"/>
      <w:bookmarkEnd w:id="3"/>
      <w:bookmarkEnd w:id="4"/>
      <w:bookmarkEnd w:id="5"/>
      <w:bookmarkEnd w:id="6"/>
      <w:bookmarkEnd w:id="7"/>
      <w:bookmarkEnd w:id="8"/>
      <w:r w:rsidRPr="00613C0C">
        <w:rPr>
          <w:rStyle w:val="default"/>
          <w:rFonts w:ascii="David" w:hAnsi="David" w:cs="David"/>
          <w:vanish/>
          <w:color w:val="FF0000"/>
          <w:shd w:val="clear" w:color="auto" w:fill="FFFF99"/>
          <w:rtl/>
        </w:rPr>
        <w:t>מיום 22.2.1991תיעשה על בסימיום 22.2.1991מיום 22.2.1991</w:t>
      </w:r>
      <w:r w:rsidRPr="00613C0C">
        <w:rPr>
          <w:rFonts w:ascii="David" w:hAnsi="David"/>
          <w:noProof/>
          <w:sz w:val="26"/>
          <w:szCs w:val="26"/>
          <w:rtl/>
        </w:rPr>
        <mc:AlternateContent>
          <mc:Choice Requires="wps">
            <w:drawing>
              <wp:anchor distT="0" distB="0" distL="114300" distR="114300" simplePos="0" relativeHeight="251662336" behindDoc="0" locked="1" layoutInCell="0" allowOverlap="1" wp14:anchorId="5D45785A" wp14:editId="4D26FA13">
                <wp:simplePos x="0" y="0"/>
                <wp:positionH relativeFrom="column">
                  <wp:posOffset>6040755</wp:posOffset>
                </wp:positionH>
                <wp:positionV relativeFrom="paragraph">
                  <wp:posOffset>102235</wp:posOffset>
                </wp:positionV>
                <wp:extent cx="811530" cy="711200"/>
                <wp:effectExtent l="0" t="3175" r="0" b="0"/>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14:paraId="64503266" w14:textId="77777777" w:rsidR="00613C0C" w:rsidRDefault="00613C0C" w:rsidP="00613C0C">
                            <w:pPr>
                              <w:spacing w:line="160" w:lineRule="exact"/>
                              <w:rPr>
                                <w:rFonts w:cs="Miriam"/>
                                <w:sz w:val="18"/>
                                <w:szCs w:val="18"/>
                                <w:rtl/>
                              </w:rPr>
                            </w:pPr>
                          </w:p>
                          <w:p w14:paraId="73AA5B0D" w14:textId="77777777" w:rsidR="00613C0C" w:rsidRDefault="00613C0C" w:rsidP="00613C0C">
                            <w:pPr>
                              <w:spacing w:line="160" w:lineRule="exact"/>
                              <w:rPr>
                                <w:rFonts w:cs="Miriam"/>
                                <w:sz w:val="18"/>
                                <w:szCs w:val="18"/>
                                <w:rtl/>
                              </w:rPr>
                            </w:pPr>
                          </w:p>
                          <w:p w14:paraId="6974066B" w14:textId="77777777"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5785A" id="מלבן 2" o:spid="_x0000_s1028" style="position:absolute;left:0;text-align:left;margin-left:475.65pt;margin-top:8.05pt;width:63.9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" o:allowincell="f" filled="f" stroked="f" strokecolor="lime" strokeweight=".25pt">
                <v:textbox inset="0,0,0,0">
                  <w:txbxContent>
                    <w:p w14:paraId="64503266" w14:textId="77777777" w:rsidR="00613C0C" w:rsidRDefault="00613C0C" w:rsidP="00613C0C">
                      <w:pPr>
                        <w:spacing w:line="160" w:lineRule="exact"/>
                        <w:rPr>
                          <w:rFonts w:cs="Miriam"/>
                          <w:sz w:val="18"/>
                          <w:szCs w:val="18"/>
                          <w:rtl/>
                        </w:rPr>
                      </w:pPr>
                    </w:p>
                    <w:p w14:paraId="73AA5B0D" w14:textId="77777777" w:rsidR="00613C0C" w:rsidRDefault="00613C0C" w:rsidP="00613C0C">
                      <w:pPr>
                        <w:spacing w:line="160" w:lineRule="exact"/>
                        <w:rPr>
                          <w:rFonts w:cs="Miriam"/>
                          <w:sz w:val="18"/>
                          <w:szCs w:val="18"/>
                          <w:rtl/>
                        </w:rPr>
                      </w:pPr>
                    </w:p>
                    <w:p w14:paraId="6974066B" w14:textId="77777777"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v:textbox>
                <w10:anchorlock/>
              </v:rect>
            </w:pict>
          </mc:Fallback>
        </mc:AlternateContent>
      </w:r>
      <w:r w:rsidRPr="00613C0C">
        <w:rPr>
          <w:rFonts w:ascii="David" w:hAnsi="David"/>
          <w:noProof/>
          <w:sz w:val="26"/>
          <w:szCs w:val="26"/>
          <w:rtl/>
        </w:rPr>
        <mc:AlternateContent>
          <mc:Choice Requires="wps">
            <w:drawing>
              <wp:anchor distT="0" distB="0" distL="114300" distR="114300" simplePos="0" relativeHeight="251661312" behindDoc="0" locked="1" layoutInCell="0" allowOverlap="1" wp14:anchorId="6B547B86" wp14:editId="2313AE9B">
                <wp:simplePos x="0" y="0"/>
                <wp:positionH relativeFrom="column">
                  <wp:posOffset>6040755</wp:posOffset>
                </wp:positionH>
                <wp:positionV relativeFrom="paragraph">
                  <wp:posOffset>102235</wp:posOffset>
                </wp:positionV>
                <wp:extent cx="811530" cy="711200"/>
                <wp:effectExtent l="0" t="3175" r="0" b="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14:paraId="30ACBA45" w14:textId="77777777" w:rsidR="00613C0C" w:rsidRDefault="00613C0C" w:rsidP="00613C0C">
                            <w:pPr>
                              <w:spacing w:line="160" w:lineRule="exact"/>
                              <w:rPr>
                                <w:rFonts w:cs="Miriam"/>
                                <w:sz w:val="18"/>
                                <w:szCs w:val="18"/>
                                <w:rtl/>
                              </w:rPr>
                            </w:pPr>
                          </w:p>
                          <w:p w14:paraId="6D72A349" w14:textId="77777777" w:rsidR="00613C0C" w:rsidRDefault="00613C0C" w:rsidP="00613C0C">
                            <w:pPr>
                              <w:spacing w:line="160" w:lineRule="exact"/>
                              <w:rPr>
                                <w:rFonts w:cs="Miriam"/>
                                <w:sz w:val="18"/>
                                <w:szCs w:val="18"/>
                                <w:rtl/>
                              </w:rPr>
                            </w:pPr>
                          </w:p>
                          <w:p w14:paraId="61EF0687" w14:textId="77777777"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47B86" id="מלבן 1" o:spid="_x0000_s1029" style="position:absolute;left:0;text-align:left;margin-left:475.65pt;margin-top:8.05pt;width:63.9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" o:allowincell="f" filled="f" stroked="f" strokecolor="lime" strokeweight=".25pt">
                <v:textbox inset="0,0,0,0">
                  <w:txbxContent>
                    <w:p w14:paraId="30ACBA45" w14:textId="77777777" w:rsidR="00613C0C" w:rsidRDefault="00613C0C" w:rsidP="00613C0C">
                      <w:pPr>
                        <w:spacing w:line="160" w:lineRule="exact"/>
                        <w:rPr>
                          <w:rFonts w:cs="Miriam"/>
                          <w:sz w:val="18"/>
                          <w:szCs w:val="18"/>
                          <w:rtl/>
                        </w:rPr>
                      </w:pPr>
                    </w:p>
                    <w:p w14:paraId="6D72A349" w14:textId="77777777" w:rsidR="00613C0C" w:rsidRDefault="00613C0C" w:rsidP="00613C0C">
                      <w:pPr>
                        <w:spacing w:line="160" w:lineRule="exact"/>
                        <w:rPr>
                          <w:rFonts w:cs="Miriam"/>
                          <w:sz w:val="18"/>
                          <w:szCs w:val="18"/>
                          <w:rtl/>
                        </w:rPr>
                      </w:pPr>
                    </w:p>
                    <w:p w14:paraId="61EF0687" w14:textId="77777777"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v:textbox>
                <w10:anchorlock/>
              </v:rect>
            </w:pict>
          </mc:Fallback>
        </mc:AlternateContent>
      </w:r>
    </w:p>
    <w:p w14:paraId="47DA05D1" w14:textId="77777777" w:rsidR="00613C0C" w:rsidRPr="00613C0C" w:rsidRDefault="00613C0C">
      <w:pPr>
        <w:bidi w:val="0"/>
        <w:spacing w:after="160" w:line="259" w:lineRule="auto"/>
        <w:jc w:val="left"/>
        <w:rPr>
          <w:rFonts w:ascii="David" w:hAnsi="David"/>
          <w:b/>
          <w:bCs/>
          <w:sz w:val="26"/>
          <w:szCs w:val="26"/>
          <w:rtl/>
        </w:rPr>
      </w:pPr>
      <w:r w:rsidRPr="00613C0C">
        <w:rPr>
          <w:rFonts w:ascii="David" w:hAnsi="David"/>
          <w:b/>
          <w:bCs/>
          <w:sz w:val="26"/>
          <w:szCs w:val="26"/>
          <w:rtl/>
        </w:rPr>
        <w:br w:type="page"/>
      </w:r>
    </w:p>
    <w:p w14:paraId="121E01A3" w14:textId="77777777" w:rsidR="00613C0C" w:rsidRPr="00613C0C" w:rsidRDefault="00613C0C" w:rsidP="00613C0C">
      <w:pPr>
        <w:rPr>
          <w:rFonts w:ascii="David" w:hAnsi="David"/>
          <w:b/>
          <w:bCs/>
          <w:sz w:val="26"/>
          <w:szCs w:val="26"/>
          <w:u w:val="single"/>
          <w:rtl/>
        </w:rPr>
      </w:pPr>
      <w:r w:rsidRPr="00613C0C">
        <w:rPr>
          <w:rFonts w:ascii="David" w:hAnsi="David"/>
          <w:b/>
          <w:bCs/>
          <w:sz w:val="26"/>
          <w:szCs w:val="26"/>
          <w:rtl/>
        </w:rPr>
        <w:lastRenderedPageBreak/>
        <w:t xml:space="preserve">ג. </w:t>
      </w:r>
      <w:r w:rsidRPr="00613C0C">
        <w:rPr>
          <w:rFonts w:ascii="David" w:hAnsi="David"/>
          <w:b/>
          <w:bCs/>
          <w:sz w:val="26"/>
          <w:szCs w:val="26"/>
          <w:u w:val="single"/>
          <w:rtl/>
        </w:rPr>
        <w:t>השפעת חוק היסוד המוצע על החוק הקיים</w:t>
      </w:r>
    </w:p>
    <w:p w14:paraId="24319479" w14:textId="77777777" w:rsidR="00613C0C" w:rsidRPr="00613C0C" w:rsidRDefault="00613C0C" w:rsidP="00613C0C">
      <w:pPr>
        <w:rPr>
          <w:rFonts w:ascii="David" w:hAnsi="David"/>
          <w:sz w:val="26"/>
          <w:szCs w:val="26"/>
          <w:rtl/>
        </w:rPr>
      </w:pPr>
      <w:r w:rsidRPr="00613C0C">
        <w:rPr>
          <w:rFonts w:ascii="David" w:hAnsi="David"/>
          <w:sz w:val="26"/>
          <w:szCs w:val="26"/>
          <w:rtl/>
        </w:rPr>
        <w:t>יתוקן חוק יסוד : השפיטה</w:t>
      </w:r>
    </w:p>
    <w:p w14:paraId="1D1999A9" w14:textId="77777777" w:rsidR="00613C0C" w:rsidRPr="00613C0C" w:rsidRDefault="00613C0C" w:rsidP="00613C0C">
      <w:pPr>
        <w:rPr>
          <w:rFonts w:ascii="David" w:hAnsi="David"/>
          <w:sz w:val="26"/>
          <w:szCs w:val="26"/>
          <w:rtl/>
        </w:rPr>
      </w:pPr>
    </w:p>
    <w:p w14:paraId="7A28A89B" w14:textId="77777777" w:rsidR="00613C0C" w:rsidRPr="00613C0C" w:rsidRDefault="00613C0C" w:rsidP="00613C0C">
      <w:pPr>
        <w:rPr>
          <w:rFonts w:ascii="David" w:hAnsi="David"/>
          <w:sz w:val="26"/>
          <w:szCs w:val="26"/>
          <w:rtl/>
        </w:rPr>
      </w:pPr>
    </w:p>
    <w:p w14:paraId="04D935B4" w14:textId="77777777" w:rsidR="00613C0C" w:rsidRPr="00613C0C" w:rsidRDefault="00613C0C" w:rsidP="00613C0C">
      <w:pPr>
        <w:rPr>
          <w:rFonts w:ascii="David" w:hAnsi="David"/>
          <w:b/>
          <w:bCs/>
          <w:sz w:val="26"/>
          <w:szCs w:val="26"/>
          <w:u w:val="single"/>
          <w:rtl/>
        </w:rPr>
      </w:pPr>
      <w:r w:rsidRPr="00613C0C">
        <w:rPr>
          <w:rFonts w:ascii="David" w:hAnsi="David"/>
          <w:b/>
          <w:bCs/>
          <w:sz w:val="26"/>
          <w:szCs w:val="26"/>
          <w:rtl/>
        </w:rPr>
        <w:t xml:space="preserve">ד. </w:t>
      </w:r>
      <w:r w:rsidRPr="00613C0C">
        <w:rPr>
          <w:rFonts w:ascii="David" w:hAnsi="David"/>
          <w:b/>
          <w:bCs/>
          <w:sz w:val="26"/>
          <w:szCs w:val="26"/>
          <w:u w:val="single"/>
          <w:rtl/>
        </w:rPr>
        <w:t xml:space="preserve">השפעת חוק היסוד המוצע על תקציב המדינה </w:t>
      </w:r>
    </w:p>
    <w:p w14:paraId="1BEDE361" w14:textId="77777777" w:rsidR="00613C0C" w:rsidRPr="00613C0C" w:rsidRDefault="00613C0C" w:rsidP="00613C0C">
      <w:pPr>
        <w:rPr>
          <w:rFonts w:ascii="David" w:hAnsi="David"/>
          <w:sz w:val="26"/>
          <w:szCs w:val="26"/>
        </w:rPr>
      </w:pPr>
      <w:r w:rsidRPr="00613C0C">
        <w:rPr>
          <w:rFonts w:ascii="David" w:hAnsi="David"/>
          <w:sz w:val="26"/>
          <w:szCs w:val="26"/>
          <w:rtl/>
        </w:rPr>
        <w:t>...</w:t>
      </w:r>
    </w:p>
    <w:p w14:paraId="1038C16E" w14:textId="77777777" w:rsidR="00613C0C" w:rsidRPr="0053248F" w:rsidRDefault="00613C0C" w:rsidP="00613C0C">
      <w:pPr>
        <w:rPr>
          <w:b/>
          <w:bCs/>
          <w:u w:val="single"/>
          <w:rtl/>
        </w:rPr>
      </w:pPr>
      <w:r w:rsidRPr="0053248F">
        <w:rPr>
          <w:b/>
          <w:bCs/>
          <w:u w:val="single"/>
          <w:rtl/>
        </w:rPr>
        <w:br w:type="page"/>
      </w:r>
    </w:p>
    <w:p w14:paraId="6C614D7C" w14:textId="77777777" w:rsidR="00613C0C" w:rsidRPr="0053248F" w:rsidRDefault="00613C0C" w:rsidP="00613C0C">
      <w:pPr>
        <w:rPr>
          <w:b/>
          <w:bCs/>
          <w:u w:val="single"/>
          <w:rtl/>
        </w:rPr>
      </w:pPr>
      <w:r w:rsidRPr="0053248F">
        <w:rPr>
          <w:b/>
          <w:bCs/>
          <w:rtl/>
        </w:rPr>
        <w:lastRenderedPageBreak/>
        <w:t xml:space="preserve">ה. </w:t>
      </w:r>
      <w:r w:rsidRPr="0053248F">
        <w:rPr>
          <w:b/>
          <w:bCs/>
          <w:u w:val="single"/>
          <w:rtl/>
        </w:rPr>
        <w:t>נוסח חוק</w:t>
      </w:r>
      <w:r w:rsidRPr="0053248F">
        <w:rPr>
          <w:rFonts w:hint="cs"/>
          <w:b/>
          <w:bCs/>
          <w:u w:val="single"/>
          <w:rtl/>
        </w:rPr>
        <w:t xml:space="preserve"> היסוד</w:t>
      </w:r>
      <w:r w:rsidRPr="0053248F">
        <w:rPr>
          <w:b/>
          <w:bCs/>
          <w:u w:val="single"/>
          <w:rtl/>
        </w:rPr>
        <w:t xml:space="preserve"> המוצע</w:t>
      </w:r>
    </w:p>
    <w:p w14:paraId="6BE6748C" w14:textId="77777777" w:rsidR="00613C0C" w:rsidRPr="0053248F" w:rsidRDefault="00613C0C" w:rsidP="00613C0C">
      <w:pPr>
        <w:rPr>
          <w:b/>
          <w:bCs/>
          <w:u w:val="single"/>
          <w:rtl/>
        </w:rPr>
      </w:pPr>
    </w:p>
    <w:p w14:paraId="03120B49" w14:textId="77777777" w:rsidR="00613C0C" w:rsidRDefault="00613C0C" w:rsidP="00613C0C">
      <w:pPr>
        <w:pStyle w:val="HeadHatzaotHok"/>
        <w:tabs>
          <w:tab w:val="left" w:pos="4071"/>
          <w:tab w:val="center" w:pos="4819"/>
        </w:tabs>
        <w:spacing w:before="0"/>
        <w:rPr>
          <w:sz w:val="26"/>
          <w:rtl/>
        </w:rPr>
      </w:pPr>
      <w:bookmarkStart w:id="9" w:name="Title"/>
      <w:r w:rsidRPr="005A728C">
        <w:rPr>
          <w:rFonts w:hint="cs"/>
          <w:sz w:val="26"/>
          <w:rtl/>
        </w:rPr>
        <w:t>חוק</w:t>
      </w:r>
      <w:r w:rsidRPr="005A728C">
        <w:rPr>
          <w:sz w:val="26"/>
          <w:rtl/>
        </w:rPr>
        <w:t>-</w:t>
      </w:r>
      <w:r w:rsidRPr="005A728C">
        <w:rPr>
          <w:rFonts w:hint="cs"/>
          <w:sz w:val="26"/>
          <w:rtl/>
        </w:rPr>
        <w:t>יסוד</w:t>
      </w:r>
      <w:r w:rsidRPr="005A728C">
        <w:rPr>
          <w:sz w:val="26"/>
          <w:rtl/>
        </w:rPr>
        <w:t xml:space="preserve">: </w:t>
      </w:r>
      <w:r w:rsidRPr="005A728C">
        <w:rPr>
          <w:rFonts w:hint="cs"/>
          <w:sz w:val="26"/>
          <w:rtl/>
        </w:rPr>
        <w:t>השפיטה</w:t>
      </w:r>
      <w:r w:rsidRPr="005A728C">
        <w:rPr>
          <w:sz w:val="26"/>
          <w:rtl/>
        </w:rPr>
        <w:t xml:space="preserve"> </w:t>
      </w:r>
      <w:r w:rsidRPr="00F36FF8">
        <w:rPr>
          <w:sz w:val="26"/>
          <w:rtl/>
        </w:rPr>
        <w:t xml:space="preserve">(תיקון </w:t>
      </w:r>
      <w:r>
        <w:rPr>
          <w:sz w:val="26"/>
          <w:rtl/>
        </w:rPr>
        <w:t>–</w:t>
      </w:r>
      <w:r w:rsidRPr="00F36FF8">
        <w:rPr>
          <w:sz w:val="26"/>
          <w:rtl/>
        </w:rPr>
        <w:t xml:space="preserve"> </w:t>
      </w:r>
      <w:r>
        <w:rPr>
          <w:rFonts w:hint="cs"/>
          <w:sz w:val="26"/>
          <w:rtl/>
        </w:rPr>
        <w:t>רפורמה במשפט</w:t>
      </w:r>
      <w:r>
        <w:rPr>
          <w:sz w:val="26"/>
          <w:rtl/>
        </w:rPr>
        <w:t>)</w:t>
      </w:r>
      <w:bookmarkEnd w:id="9"/>
    </w:p>
    <w:p w14:paraId="66479CB3" w14:textId="77777777" w:rsidR="00613C0C" w:rsidRDefault="00613C0C" w:rsidP="00613C0C">
      <w:pPr>
        <w:pStyle w:val="HeadHatzaotHok"/>
        <w:tabs>
          <w:tab w:val="left" w:pos="4071"/>
          <w:tab w:val="center" w:pos="4819"/>
        </w:tabs>
        <w:spacing w:before="0"/>
        <w:rPr>
          <w:sz w:val="26"/>
          <w:rtl/>
        </w:rPr>
      </w:pPr>
    </w:p>
    <w:p w14:paraId="64536D2C" w14:textId="77777777" w:rsidR="00613C0C" w:rsidRDefault="00613C0C" w:rsidP="00613C0C">
      <w:pPr>
        <w:rPr>
          <w:sz w:val="26"/>
          <w:szCs w:val="26"/>
          <w:rtl/>
        </w:rPr>
      </w:pPr>
    </w:p>
    <w:tbl>
      <w:tblPr>
        <w:bidiVisual/>
        <w:tblW w:w="9775" w:type="dxa"/>
        <w:tblInd w:w="-137" w:type="dxa"/>
        <w:tblLayout w:type="fixed"/>
        <w:tblCellMar>
          <w:top w:w="57" w:type="dxa"/>
          <w:left w:w="0" w:type="dxa"/>
          <w:bottom w:w="57" w:type="dxa"/>
          <w:right w:w="0" w:type="dxa"/>
        </w:tblCellMar>
        <w:tblLook w:val="01E0" w:firstRow="1" w:lastRow="1" w:firstColumn="1" w:lastColumn="1" w:noHBand="0" w:noVBand="0"/>
      </w:tblPr>
      <w:tblGrid>
        <w:gridCol w:w="1843"/>
        <w:gridCol w:w="425"/>
        <w:gridCol w:w="7507"/>
      </w:tblGrid>
      <w:tr w:rsidR="00613C0C" w14:paraId="64AC390E" w14:textId="77777777" w:rsidTr="00F01698">
        <w:trPr>
          <w:cantSplit/>
          <w:trHeight w:val="330"/>
        </w:trPr>
        <w:tc>
          <w:tcPr>
            <w:tcW w:w="1843" w:type="dxa"/>
          </w:tcPr>
          <w:p w14:paraId="6F902246" w14:textId="77777777" w:rsidR="00613C0C" w:rsidRDefault="00613C0C" w:rsidP="00F01698">
            <w:pPr>
              <w:pStyle w:val="TableSideHeading"/>
              <w:keepLines w:val="0"/>
            </w:pPr>
            <w:r>
              <w:rPr>
                <w:rFonts w:hint="cs"/>
                <w:rtl/>
              </w:rPr>
              <w:t>תיקון סעיף 4</w:t>
            </w:r>
          </w:p>
        </w:tc>
        <w:tc>
          <w:tcPr>
            <w:tcW w:w="425" w:type="dxa"/>
          </w:tcPr>
          <w:p w14:paraId="077FC9D9" w14:textId="77777777" w:rsidR="00613C0C" w:rsidRDefault="00613C0C" w:rsidP="00F01698">
            <w:pPr>
              <w:pStyle w:val="TableText"/>
              <w:keepLines w:val="0"/>
            </w:pPr>
            <w:r>
              <w:rPr>
                <w:rtl/>
              </w:rPr>
              <w:t>1.</w:t>
            </w:r>
          </w:p>
        </w:tc>
        <w:tc>
          <w:tcPr>
            <w:tcW w:w="7507" w:type="dxa"/>
          </w:tcPr>
          <w:p w14:paraId="4C6F4B65" w14:textId="77777777" w:rsidR="00613C0C" w:rsidRPr="00E85D32" w:rsidRDefault="00613C0C" w:rsidP="00F01698">
            <w:pPr>
              <w:pStyle w:val="TableBlock"/>
              <w:ind w:left="142"/>
            </w:pPr>
            <w:r>
              <w:rPr>
                <w:rtl/>
              </w:rPr>
              <w:t>בחוק</w:t>
            </w:r>
            <w:r w:rsidRPr="005A728C">
              <w:rPr>
                <w:rtl/>
              </w:rPr>
              <w:t>-</w:t>
            </w:r>
            <w:r w:rsidRPr="005A728C">
              <w:rPr>
                <w:rFonts w:hint="cs"/>
                <w:rtl/>
              </w:rPr>
              <w:t>יסוד</w:t>
            </w:r>
            <w:r w:rsidRPr="005A728C">
              <w:rPr>
                <w:rtl/>
              </w:rPr>
              <w:t xml:space="preserve">: </w:t>
            </w:r>
            <w:r w:rsidRPr="005A728C">
              <w:rPr>
                <w:rFonts w:hint="cs"/>
                <w:rtl/>
              </w:rPr>
              <w:t>השפיטה</w:t>
            </w:r>
            <w:r>
              <w:rPr>
                <w:rStyle w:val="ab"/>
                <w:rtl/>
              </w:rPr>
              <w:footnoteReference w:id="1"/>
            </w:r>
            <w:r>
              <w:rPr>
                <w:rFonts w:hint="cs"/>
                <w:rtl/>
              </w:rPr>
              <w:t xml:space="preserve"> </w:t>
            </w:r>
            <w:r w:rsidRPr="008445FB">
              <w:rPr>
                <w:rtl/>
              </w:rPr>
              <w:t>(</w:t>
            </w:r>
            <w:r w:rsidRPr="008445FB">
              <w:rPr>
                <w:rFonts w:hint="cs"/>
                <w:rtl/>
              </w:rPr>
              <w:t>להלן</w:t>
            </w:r>
            <w:r w:rsidRPr="008445FB">
              <w:rPr>
                <w:rtl/>
              </w:rPr>
              <w:t xml:space="preserve"> - '</w:t>
            </w:r>
            <w:r w:rsidRPr="008445FB">
              <w:rPr>
                <w:rFonts w:hint="cs"/>
                <w:rtl/>
              </w:rPr>
              <w:t>החוק</w:t>
            </w:r>
            <w:r w:rsidRPr="008445FB">
              <w:rPr>
                <w:rtl/>
              </w:rPr>
              <w:t xml:space="preserve"> </w:t>
            </w:r>
            <w:r w:rsidRPr="008445FB">
              <w:rPr>
                <w:rFonts w:hint="cs"/>
                <w:rtl/>
              </w:rPr>
              <w:t>העיקרי</w:t>
            </w:r>
            <w:r w:rsidRPr="008445FB">
              <w:rPr>
                <w:rtl/>
              </w:rPr>
              <w:t xml:space="preserve">'), </w:t>
            </w:r>
            <w:r>
              <w:rPr>
                <w:rFonts w:hint="cs"/>
                <w:rtl/>
              </w:rPr>
              <w:t xml:space="preserve">בסעיף 4 לחוק העיקרי -  </w:t>
            </w:r>
          </w:p>
        </w:tc>
      </w:tr>
      <w:tr w:rsidR="00613C0C" w14:paraId="3728DD8E" w14:textId="77777777" w:rsidTr="00F01698">
        <w:trPr>
          <w:cantSplit/>
          <w:trHeight w:val="330"/>
        </w:trPr>
        <w:tc>
          <w:tcPr>
            <w:tcW w:w="1843" w:type="dxa"/>
          </w:tcPr>
          <w:p w14:paraId="3E15C659" w14:textId="77777777" w:rsidR="00613C0C" w:rsidRDefault="00613C0C" w:rsidP="00F01698">
            <w:pPr>
              <w:pStyle w:val="TableSideHeading"/>
              <w:keepLines w:val="0"/>
              <w:rPr>
                <w:rtl/>
              </w:rPr>
            </w:pPr>
          </w:p>
        </w:tc>
        <w:tc>
          <w:tcPr>
            <w:tcW w:w="425" w:type="dxa"/>
          </w:tcPr>
          <w:p w14:paraId="64670C43" w14:textId="77777777" w:rsidR="00613C0C" w:rsidRDefault="00613C0C" w:rsidP="00F01698">
            <w:pPr>
              <w:pStyle w:val="TableText"/>
              <w:keepLines w:val="0"/>
              <w:rPr>
                <w:rtl/>
              </w:rPr>
            </w:pPr>
          </w:p>
        </w:tc>
        <w:tc>
          <w:tcPr>
            <w:tcW w:w="7507" w:type="dxa"/>
          </w:tcPr>
          <w:p w14:paraId="604E4E90" w14:textId="77777777" w:rsidR="00613C0C" w:rsidRDefault="00613C0C" w:rsidP="00613C0C">
            <w:pPr>
              <w:pStyle w:val="TableBlock"/>
              <w:numPr>
                <w:ilvl w:val="0"/>
                <w:numId w:val="1"/>
              </w:numPr>
              <w:rPr>
                <w:rtl/>
              </w:rPr>
            </w:pPr>
            <w:r>
              <w:rPr>
                <w:rFonts w:hint="cs"/>
                <w:rtl/>
              </w:rPr>
              <w:t>בסעיף-קטן (א), בסופו, יבוא "אשר חבריה יתמנו בתוך 30 ימים מיום שהביעה הכנסת אמון בממשלה חדשה".</w:t>
            </w:r>
          </w:p>
        </w:tc>
      </w:tr>
      <w:tr w:rsidR="00613C0C" w14:paraId="26EB546B" w14:textId="77777777" w:rsidTr="00F01698">
        <w:trPr>
          <w:cantSplit/>
          <w:trHeight w:val="330"/>
        </w:trPr>
        <w:tc>
          <w:tcPr>
            <w:tcW w:w="1843" w:type="dxa"/>
          </w:tcPr>
          <w:p w14:paraId="35C85200" w14:textId="77777777" w:rsidR="00613C0C" w:rsidRDefault="00613C0C" w:rsidP="00F01698">
            <w:pPr>
              <w:pStyle w:val="TableSideHeading"/>
              <w:keepLines w:val="0"/>
              <w:rPr>
                <w:rtl/>
              </w:rPr>
            </w:pPr>
          </w:p>
        </w:tc>
        <w:tc>
          <w:tcPr>
            <w:tcW w:w="425" w:type="dxa"/>
          </w:tcPr>
          <w:p w14:paraId="60FE936E" w14:textId="77777777" w:rsidR="00613C0C" w:rsidRDefault="00613C0C" w:rsidP="00F01698">
            <w:pPr>
              <w:pStyle w:val="TableText"/>
              <w:keepLines w:val="0"/>
              <w:rPr>
                <w:rtl/>
              </w:rPr>
            </w:pPr>
          </w:p>
        </w:tc>
        <w:tc>
          <w:tcPr>
            <w:tcW w:w="7507" w:type="dxa"/>
          </w:tcPr>
          <w:p w14:paraId="216ABD1A" w14:textId="77777777" w:rsidR="00613C0C" w:rsidRDefault="00613C0C" w:rsidP="00613C0C">
            <w:pPr>
              <w:pStyle w:val="TableBlock"/>
              <w:numPr>
                <w:ilvl w:val="0"/>
                <w:numId w:val="1"/>
              </w:numPr>
            </w:pPr>
            <w:r>
              <w:rPr>
                <w:rFonts w:hint="cs"/>
                <w:rtl/>
              </w:rPr>
              <w:t xml:space="preserve">סעיף קטן (ב) יימחק, ובמקומו יבוא </w:t>
            </w:r>
            <w:r>
              <w:rPr>
                <w:rtl/>
              </w:rPr>
              <w:t>–</w:t>
            </w:r>
            <w:r>
              <w:rPr>
                <w:rFonts w:hint="cs"/>
                <w:rtl/>
              </w:rPr>
              <w:t xml:space="preserve"> </w:t>
            </w:r>
          </w:p>
          <w:p w14:paraId="16E555A1" w14:textId="77777777" w:rsidR="00613C0C" w:rsidRPr="00876D39" w:rsidRDefault="00613C0C" w:rsidP="00F01698">
            <w:pPr>
              <w:pStyle w:val="TableBlock"/>
              <w:tabs>
                <w:tab w:val="clear" w:pos="624"/>
                <w:tab w:val="left" w:pos="1273"/>
              </w:tabs>
              <w:ind w:left="706" w:hanging="426"/>
              <w:rPr>
                <w:rtl/>
              </w:rPr>
            </w:pPr>
            <w:r>
              <w:rPr>
                <w:rFonts w:hint="cs"/>
                <w:rtl/>
              </w:rPr>
              <w:t xml:space="preserve">"(ב) </w:t>
            </w:r>
            <w:r w:rsidRPr="00876D39">
              <w:rPr>
                <w:rFonts w:hint="cs"/>
                <w:rtl/>
              </w:rPr>
              <w:t>ה</w:t>
            </w:r>
            <w:r>
              <w:rPr>
                <w:rFonts w:hint="cs"/>
                <w:rtl/>
              </w:rPr>
              <w:t>וועדה</w:t>
            </w:r>
            <w:r w:rsidRPr="00876D39">
              <w:rPr>
                <w:rFonts w:hint="cs"/>
                <w:rtl/>
              </w:rPr>
              <w:t xml:space="preserve"> תהיה של אחד עשר חברים שהם שר המשפטים שיכהן כיושב ראש ה</w:t>
            </w:r>
            <w:r>
              <w:rPr>
                <w:rFonts w:hint="cs"/>
                <w:rtl/>
              </w:rPr>
              <w:t>וועדה</w:t>
            </w:r>
            <w:r w:rsidRPr="00876D39">
              <w:rPr>
                <w:rFonts w:hint="cs"/>
                <w:rtl/>
              </w:rPr>
              <w:t>, שני שרים אחרים שתקבע הממשלה, יושב ראש ועדת החוקה חוק ומשפט של הכנסת, יושב ראש ה</w:t>
            </w:r>
            <w:r>
              <w:rPr>
                <w:rFonts w:hint="cs"/>
                <w:rtl/>
              </w:rPr>
              <w:t>וועדה</w:t>
            </w:r>
            <w:r w:rsidRPr="00876D39">
              <w:rPr>
                <w:rFonts w:hint="cs"/>
                <w:rtl/>
              </w:rPr>
              <w:t xml:space="preserve"> לביקורת המדינה של הכנסת, יושב ראש ועדת הכנסת, נשיא בית המשפט העליון, שני שופטים אחרים של בית המשפט העליון שיבחר חבר שופטיו ושני נציגי ציבור שיבחר שר המשפטים כאשר אחד מהם עורך דין; לא תתערב רשות שלטונית, לרבות בית המשפט העליון בשבתו כבית משפט גבוה לצדק, בבחירת חברי הוועדה מלבד אלו שמסורים לבחירתה, ולא תתערב בהליכי עבודת ה</w:t>
            </w:r>
            <w:r>
              <w:rPr>
                <w:rFonts w:hint="cs"/>
                <w:rtl/>
              </w:rPr>
              <w:t>וועדה</w:t>
            </w:r>
            <w:r w:rsidRPr="00876D39">
              <w:rPr>
                <w:rFonts w:hint="cs"/>
                <w:rtl/>
              </w:rPr>
              <w:t>, בשיקול דעתם של חבריה ובהחלטותיה.</w:t>
            </w:r>
            <w:r>
              <w:rPr>
                <w:rFonts w:hint="cs"/>
                <w:rtl/>
              </w:rPr>
              <w:t>"</w:t>
            </w:r>
            <w:r w:rsidRPr="00876D39">
              <w:rPr>
                <w:rFonts w:hint="cs"/>
                <w:rtl/>
              </w:rPr>
              <w:t xml:space="preserve"> </w:t>
            </w:r>
          </w:p>
          <w:p w14:paraId="7712CA64" w14:textId="77777777" w:rsidR="00613C0C" w:rsidRDefault="00613C0C" w:rsidP="00F01698">
            <w:pPr>
              <w:pStyle w:val="TableBlock"/>
              <w:ind w:left="502"/>
              <w:rPr>
                <w:rtl/>
              </w:rPr>
            </w:pPr>
          </w:p>
        </w:tc>
      </w:tr>
      <w:tr w:rsidR="00613C0C" w14:paraId="5931108A" w14:textId="77777777" w:rsidTr="00F01698">
        <w:trPr>
          <w:cantSplit/>
          <w:trHeight w:val="330"/>
        </w:trPr>
        <w:tc>
          <w:tcPr>
            <w:tcW w:w="1843" w:type="dxa"/>
          </w:tcPr>
          <w:p w14:paraId="2D124A8A" w14:textId="77777777" w:rsidR="00613C0C" w:rsidRDefault="00613C0C" w:rsidP="00F01698">
            <w:pPr>
              <w:pStyle w:val="TableSideHeading"/>
              <w:keepLines w:val="0"/>
              <w:rPr>
                <w:rtl/>
              </w:rPr>
            </w:pPr>
          </w:p>
        </w:tc>
        <w:tc>
          <w:tcPr>
            <w:tcW w:w="425" w:type="dxa"/>
          </w:tcPr>
          <w:p w14:paraId="31C2566B" w14:textId="77777777" w:rsidR="00613C0C" w:rsidRDefault="00613C0C" w:rsidP="00F01698">
            <w:pPr>
              <w:pStyle w:val="TableText"/>
              <w:keepLines w:val="0"/>
              <w:rPr>
                <w:rtl/>
              </w:rPr>
            </w:pPr>
          </w:p>
        </w:tc>
        <w:tc>
          <w:tcPr>
            <w:tcW w:w="7507" w:type="dxa"/>
          </w:tcPr>
          <w:p w14:paraId="077A08E3" w14:textId="77777777" w:rsidR="00613C0C" w:rsidRDefault="00D16C18" w:rsidP="00D16C18">
            <w:pPr>
              <w:pStyle w:val="TableBlock"/>
              <w:numPr>
                <w:ilvl w:val="0"/>
                <w:numId w:val="1"/>
              </w:numPr>
            </w:pPr>
            <w:r>
              <w:rPr>
                <w:rFonts w:hint="cs"/>
                <w:rtl/>
              </w:rPr>
              <w:t xml:space="preserve">סעיף קטן (ג) יימחק, ובמקומו יבוא </w:t>
            </w:r>
            <w:r w:rsidR="00613C0C">
              <w:rPr>
                <w:rFonts w:hint="cs"/>
                <w:rtl/>
              </w:rPr>
              <w:t xml:space="preserve"> </w:t>
            </w:r>
            <w:r w:rsidR="00613C0C">
              <w:rPr>
                <w:rtl/>
              </w:rPr>
              <w:t>–</w:t>
            </w:r>
            <w:r w:rsidR="00613C0C">
              <w:rPr>
                <w:rFonts w:hint="cs"/>
                <w:rtl/>
              </w:rPr>
              <w:t xml:space="preserve"> </w:t>
            </w:r>
          </w:p>
          <w:p w14:paraId="6FB3A0E9" w14:textId="77777777" w:rsidR="00613C0C" w:rsidRDefault="00613C0C" w:rsidP="00D16C18">
            <w:pPr>
              <w:pStyle w:val="TableBlock"/>
              <w:tabs>
                <w:tab w:val="clear" w:pos="624"/>
              </w:tabs>
              <w:ind w:left="706" w:hanging="426"/>
              <w:rPr>
                <w:rtl/>
              </w:rPr>
            </w:pPr>
            <w:r>
              <w:rPr>
                <w:rFonts w:hint="cs"/>
                <w:rtl/>
              </w:rPr>
              <w:t>"</w:t>
            </w:r>
            <w:r w:rsidR="00D16C18">
              <w:rPr>
                <w:rFonts w:asciiTheme="minorBidi" w:hAnsiTheme="minorBidi" w:hint="cs"/>
                <w:sz w:val="26"/>
                <w:rtl/>
              </w:rPr>
              <w:t xml:space="preserve"> (ג) בחירת שופט של בית המשפט העליון תיעשה בידי הוועדה ברוב חבריה,  בסעיף זה - "החלטת הבחירה". החלטת הבחירה תיכנס לתוקף רק לאחר החלטת </w:t>
            </w:r>
            <w:proofErr w:type="spellStart"/>
            <w:r w:rsidR="00D16C18">
              <w:rPr>
                <w:rFonts w:asciiTheme="minorBidi" w:hAnsiTheme="minorBidi" w:hint="cs"/>
                <w:sz w:val="26"/>
                <w:rtl/>
              </w:rPr>
              <w:t>אישרור</w:t>
            </w:r>
            <w:proofErr w:type="spellEnd"/>
            <w:r w:rsidR="00D16C18">
              <w:rPr>
                <w:rFonts w:asciiTheme="minorBidi" w:hAnsiTheme="minorBidi" w:hint="cs"/>
                <w:sz w:val="26"/>
                <w:rtl/>
              </w:rPr>
              <w:t xml:space="preserve"> נוספת של הוועדה ברוב חבריה, בסעיף קטן זה - "</w:t>
            </w:r>
            <w:proofErr w:type="spellStart"/>
            <w:r w:rsidR="00D16C18">
              <w:rPr>
                <w:rFonts w:asciiTheme="minorBidi" w:hAnsiTheme="minorBidi" w:hint="cs"/>
                <w:sz w:val="26"/>
                <w:rtl/>
              </w:rPr>
              <w:t>אישרור</w:t>
            </w:r>
            <w:proofErr w:type="spellEnd"/>
            <w:r w:rsidR="00D16C18">
              <w:rPr>
                <w:rFonts w:asciiTheme="minorBidi" w:hAnsiTheme="minorBidi" w:hint="cs"/>
                <w:sz w:val="26"/>
                <w:rtl/>
              </w:rPr>
              <w:t xml:space="preserve"> הבחירה".   בין החלטת הבחירה ובין </w:t>
            </w:r>
            <w:proofErr w:type="spellStart"/>
            <w:r w:rsidR="00D16C18">
              <w:rPr>
                <w:rFonts w:asciiTheme="minorBidi" w:hAnsiTheme="minorBidi" w:hint="cs"/>
                <w:sz w:val="26"/>
                <w:rtl/>
              </w:rPr>
              <w:t>אישרור</w:t>
            </w:r>
            <w:proofErr w:type="spellEnd"/>
            <w:r w:rsidR="00D16C18">
              <w:rPr>
                <w:rFonts w:asciiTheme="minorBidi" w:hAnsiTheme="minorBidi" w:hint="cs"/>
                <w:sz w:val="26"/>
                <w:rtl/>
              </w:rPr>
              <w:t xml:space="preserve"> הבחירה, תקיים וועדת החוקה, חוק ומשפט של הכנסת שימוע פומבי למועמד בתוך 21 יום מיום שמסר לה שר המשפטים על החלטת הבחירה; לא קיימה וועדת החוקה, חוק ומשפט של הכנסת  שימוע בפרק הזמן כאמור, רשאית הוועדה לאשרר את הבחירה ללא שימוע כאמור."</w:t>
            </w:r>
          </w:p>
        </w:tc>
      </w:tr>
      <w:tr w:rsidR="00D16C18" w14:paraId="71351028" w14:textId="77777777" w:rsidTr="00F01698">
        <w:trPr>
          <w:cantSplit/>
          <w:trHeight w:val="330"/>
        </w:trPr>
        <w:tc>
          <w:tcPr>
            <w:tcW w:w="1843" w:type="dxa"/>
          </w:tcPr>
          <w:p w14:paraId="4A546EC0" w14:textId="77777777" w:rsidR="00D16C18" w:rsidRDefault="00D16C18" w:rsidP="00D16C18">
            <w:pPr>
              <w:pStyle w:val="TableSideHeading"/>
              <w:keepLines w:val="0"/>
              <w:rPr>
                <w:rtl/>
              </w:rPr>
            </w:pPr>
          </w:p>
        </w:tc>
        <w:tc>
          <w:tcPr>
            <w:tcW w:w="425" w:type="dxa"/>
          </w:tcPr>
          <w:p w14:paraId="242995D1" w14:textId="77777777" w:rsidR="00D16C18" w:rsidRDefault="00D16C18" w:rsidP="00D16C18">
            <w:pPr>
              <w:pStyle w:val="TableText"/>
              <w:keepLines w:val="0"/>
              <w:rPr>
                <w:rtl/>
              </w:rPr>
            </w:pPr>
          </w:p>
        </w:tc>
        <w:tc>
          <w:tcPr>
            <w:tcW w:w="7507" w:type="dxa"/>
          </w:tcPr>
          <w:p w14:paraId="6A653323" w14:textId="77777777" w:rsidR="00D16C18" w:rsidRDefault="00D16C18" w:rsidP="00D16C18">
            <w:pPr>
              <w:pStyle w:val="TableBlock"/>
              <w:numPr>
                <w:ilvl w:val="0"/>
                <w:numId w:val="1"/>
              </w:numPr>
            </w:pPr>
            <w:r>
              <w:rPr>
                <w:rFonts w:hint="cs"/>
                <w:rtl/>
              </w:rPr>
              <w:t xml:space="preserve">אחרי סעיף קטן (ג) יבוא </w:t>
            </w:r>
            <w:r>
              <w:rPr>
                <w:rtl/>
              </w:rPr>
              <w:t>–</w:t>
            </w:r>
            <w:r>
              <w:rPr>
                <w:rFonts w:hint="cs"/>
                <w:rtl/>
              </w:rPr>
              <w:t xml:space="preserve"> </w:t>
            </w:r>
          </w:p>
          <w:p w14:paraId="4767B91B" w14:textId="77777777" w:rsidR="00D16C18" w:rsidRDefault="00D16C18" w:rsidP="00D16C18">
            <w:pPr>
              <w:pStyle w:val="TableBlock"/>
              <w:tabs>
                <w:tab w:val="clear" w:pos="624"/>
              </w:tabs>
              <w:ind w:left="706" w:hanging="426"/>
              <w:rPr>
                <w:rtl/>
              </w:rPr>
            </w:pPr>
            <w:r>
              <w:rPr>
                <w:rFonts w:hint="cs"/>
                <w:rtl/>
              </w:rPr>
              <w:t xml:space="preserve">"(ד) </w:t>
            </w:r>
            <w:r w:rsidRPr="00876D39">
              <w:rPr>
                <w:rtl/>
              </w:rPr>
              <w:t xml:space="preserve">נשיא וסגן נשיא של בית המשפט העליון יתמנו </w:t>
            </w:r>
            <w:r w:rsidRPr="00876D39">
              <w:rPr>
                <w:rFonts w:hint="cs"/>
                <w:rtl/>
              </w:rPr>
              <w:t xml:space="preserve">לתקופת כהונה חד פעמית בת שש שנים, </w:t>
            </w:r>
            <w:r w:rsidRPr="00876D39">
              <w:rPr>
                <w:rtl/>
              </w:rPr>
              <w:t>באותה הדרך שבה מתמנים שופטים של בית המשפט העליון, בין אם כיהנו תחילה כשופטים של בית המשפט העליון ובין אם לא, ו</w:t>
            </w:r>
            <w:r>
              <w:rPr>
                <w:rFonts w:hint="cs"/>
                <w:rtl/>
              </w:rPr>
              <w:t xml:space="preserve">הם </w:t>
            </w:r>
            <w:r w:rsidRPr="00876D39">
              <w:rPr>
                <w:rtl/>
              </w:rPr>
              <w:t xml:space="preserve">יכהנו </w:t>
            </w:r>
            <w:r w:rsidRPr="00876D39">
              <w:rPr>
                <w:rFonts w:hint="cs"/>
                <w:rtl/>
              </w:rPr>
              <w:t xml:space="preserve">גם </w:t>
            </w:r>
            <w:r w:rsidRPr="00876D39">
              <w:rPr>
                <w:rtl/>
              </w:rPr>
              <w:t>כשופטים של בית המשפט העליון</w:t>
            </w:r>
            <w:r w:rsidRPr="00876D39">
              <w:rPr>
                <w:rFonts w:hint="cs"/>
                <w:rtl/>
              </w:rPr>
              <w:t>; נשיא או סגן נשיא שסיימו את תפקידם בטרם יצאו לקצבה, יוסיפו לכהן כשופטים של בית המשפט העליון עד צאתם לקצבה</w:t>
            </w:r>
            <w:r>
              <w:rPr>
                <w:rFonts w:hint="cs"/>
                <w:rtl/>
              </w:rPr>
              <w:t>."</w:t>
            </w:r>
          </w:p>
        </w:tc>
      </w:tr>
      <w:tr w:rsidR="00613C0C" w14:paraId="5C979243" w14:textId="77777777" w:rsidTr="00F01698">
        <w:trPr>
          <w:cantSplit/>
          <w:trHeight w:val="330"/>
        </w:trPr>
        <w:tc>
          <w:tcPr>
            <w:tcW w:w="1843" w:type="dxa"/>
          </w:tcPr>
          <w:p w14:paraId="1BB9B616" w14:textId="77777777" w:rsidR="00613C0C" w:rsidRDefault="00613C0C" w:rsidP="00F01698">
            <w:pPr>
              <w:pStyle w:val="TableSideHeading"/>
              <w:keepLines w:val="0"/>
              <w:rPr>
                <w:rtl/>
              </w:rPr>
            </w:pPr>
            <w:r>
              <w:rPr>
                <w:rFonts w:hint="cs"/>
                <w:rtl/>
              </w:rPr>
              <w:t xml:space="preserve">תיקון סעיף 7 </w:t>
            </w:r>
          </w:p>
        </w:tc>
        <w:tc>
          <w:tcPr>
            <w:tcW w:w="425" w:type="dxa"/>
          </w:tcPr>
          <w:p w14:paraId="3E8B1EAB" w14:textId="77777777" w:rsidR="00613C0C" w:rsidRDefault="00613C0C" w:rsidP="00F01698">
            <w:pPr>
              <w:pStyle w:val="TableText"/>
              <w:keepLines w:val="0"/>
              <w:rPr>
                <w:rtl/>
              </w:rPr>
            </w:pPr>
            <w:r>
              <w:rPr>
                <w:rFonts w:hint="cs"/>
                <w:rtl/>
              </w:rPr>
              <w:t>2.</w:t>
            </w:r>
          </w:p>
        </w:tc>
        <w:tc>
          <w:tcPr>
            <w:tcW w:w="7507" w:type="dxa"/>
          </w:tcPr>
          <w:p w14:paraId="7A245431" w14:textId="77777777" w:rsidR="00613C0C" w:rsidRDefault="00613C0C" w:rsidP="00F01698">
            <w:pPr>
              <w:pStyle w:val="TableBlock"/>
              <w:tabs>
                <w:tab w:val="clear" w:pos="624"/>
                <w:tab w:val="left" w:pos="0"/>
              </w:tabs>
              <w:ind w:left="139"/>
              <w:rPr>
                <w:rtl/>
              </w:rPr>
            </w:pPr>
            <w:r>
              <w:rPr>
                <w:rFonts w:hint="cs"/>
                <w:rtl/>
              </w:rPr>
              <w:t xml:space="preserve">בסעיף 7, </w:t>
            </w:r>
            <w:proofErr w:type="spellStart"/>
            <w:r>
              <w:rPr>
                <w:rFonts w:hint="cs"/>
                <w:rtl/>
              </w:rPr>
              <w:t>בפיסקת</w:t>
            </w:r>
            <w:proofErr w:type="spellEnd"/>
            <w:r>
              <w:rPr>
                <w:rFonts w:hint="cs"/>
                <w:rtl/>
              </w:rPr>
              <w:t xml:space="preserve"> משנה (4), במקום "שבעה חברים" יבוא "תשעה חברים".</w:t>
            </w:r>
          </w:p>
          <w:p w14:paraId="5EBEE657" w14:textId="77777777" w:rsidR="00613C0C" w:rsidRDefault="00613C0C" w:rsidP="00F01698">
            <w:pPr>
              <w:pStyle w:val="TableBlock"/>
              <w:rPr>
                <w:rtl/>
              </w:rPr>
            </w:pPr>
          </w:p>
        </w:tc>
      </w:tr>
      <w:tr w:rsidR="00613C0C" w14:paraId="150D4664" w14:textId="77777777" w:rsidTr="00F01698">
        <w:trPr>
          <w:cantSplit/>
          <w:trHeight w:val="330"/>
        </w:trPr>
        <w:tc>
          <w:tcPr>
            <w:tcW w:w="1843" w:type="dxa"/>
          </w:tcPr>
          <w:p w14:paraId="3DD2FB71" w14:textId="77777777" w:rsidR="00613C0C" w:rsidRDefault="00613C0C" w:rsidP="00F01698">
            <w:pPr>
              <w:pStyle w:val="TableSideHeading"/>
              <w:keepLines w:val="0"/>
              <w:rPr>
                <w:rtl/>
              </w:rPr>
            </w:pPr>
            <w:r>
              <w:rPr>
                <w:rFonts w:hint="cs"/>
                <w:rtl/>
              </w:rPr>
              <w:t>הוספת סעיף 15א</w:t>
            </w:r>
          </w:p>
        </w:tc>
        <w:tc>
          <w:tcPr>
            <w:tcW w:w="425" w:type="dxa"/>
          </w:tcPr>
          <w:p w14:paraId="6204F57E" w14:textId="77777777" w:rsidR="00613C0C" w:rsidRDefault="00613C0C" w:rsidP="00F01698">
            <w:pPr>
              <w:pStyle w:val="TableText"/>
              <w:keepLines w:val="0"/>
              <w:rPr>
                <w:rtl/>
              </w:rPr>
            </w:pPr>
            <w:r>
              <w:rPr>
                <w:rFonts w:hint="cs"/>
                <w:rtl/>
              </w:rPr>
              <w:t>3.</w:t>
            </w:r>
          </w:p>
        </w:tc>
        <w:tc>
          <w:tcPr>
            <w:tcW w:w="7507" w:type="dxa"/>
          </w:tcPr>
          <w:p w14:paraId="734ABBA3" w14:textId="77777777" w:rsidR="00613C0C" w:rsidRDefault="00613C0C" w:rsidP="00F01698">
            <w:pPr>
              <w:pStyle w:val="TableBlock"/>
              <w:tabs>
                <w:tab w:val="clear" w:pos="624"/>
                <w:tab w:val="left" w:pos="0"/>
              </w:tabs>
              <w:ind w:left="139"/>
              <w:rPr>
                <w:rtl/>
              </w:rPr>
            </w:pPr>
            <w:r>
              <w:rPr>
                <w:rFonts w:hint="cs"/>
                <w:rtl/>
              </w:rPr>
              <w:t>אחרי סעיף 15 לחוק יבוא -</w:t>
            </w:r>
          </w:p>
        </w:tc>
      </w:tr>
      <w:tr w:rsidR="00613C0C" w14:paraId="1757F1B3" w14:textId="77777777" w:rsidTr="00F01698">
        <w:trPr>
          <w:cantSplit/>
          <w:trHeight w:val="330"/>
        </w:trPr>
        <w:tc>
          <w:tcPr>
            <w:tcW w:w="1843" w:type="dxa"/>
          </w:tcPr>
          <w:p w14:paraId="39522CA4" w14:textId="77777777" w:rsidR="00613C0C" w:rsidRDefault="00613C0C" w:rsidP="00F01698">
            <w:pPr>
              <w:pStyle w:val="TableSideHeading"/>
              <w:keepLines w:val="0"/>
              <w:rPr>
                <w:rtl/>
              </w:rPr>
            </w:pPr>
          </w:p>
        </w:tc>
        <w:tc>
          <w:tcPr>
            <w:tcW w:w="425" w:type="dxa"/>
          </w:tcPr>
          <w:p w14:paraId="20875FE7" w14:textId="77777777" w:rsidR="00613C0C" w:rsidRDefault="00613C0C" w:rsidP="00F01698">
            <w:pPr>
              <w:pStyle w:val="TableText"/>
              <w:keepLines w:val="0"/>
              <w:rPr>
                <w:rtl/>
              </w:rPr>
            </w:pPr>
          </w:p>
        </w:tc>
        <w:tc>
          <w:tcPr>
            <w:tcW w:w="7507" w:type="dxa"/>
          </w:tcPr>
          <w:p w14:paraId="0476EFF9" w14:textId="77777777" w:rsidR="00613C0C" w:rsidRDefault="00613C0C" w:rsidP="00F01698">
            <w:pPr>
              <w:pStyle w:val="TableBlock"/>
              <w:tabs>
                <w:tab w:val="clear" w:pos="624"/>
                <w:tab w:val="left" w:pos="0"/>
              </w:tabs>
              <w:ind w:left="139"/>
              <w:rPr>
                <w:rtl/>
              </w:rPr>
            </w:pPr>
            <w:r>
              <w:rPr>
                <w:rFonts w:hint="cs"/>
                <w:rtl/>
              </w:rPr>
              <w:t>"15א. ביקורת שיפוטית בעניין תוקפו של חוק והתגברות</w:t>
            </w:r>
          </w:p>
          <w:p w14:paraId="61E0C8C5" w14:textId="77777777" w:rsidR="00613C0C" w:rsidRPr="00876D39" w:rsidRDefault="00613C0C" w:rsidP="00613C0C">
            <w:pPr>
              <w:pStyle w:val="TableBlock"/>
              <w:numPr>
                <w:ilvl w:val="0"/>
                <w:numId w:val="3"/>
              </w:numPr>
              <w:tabs>
                <w:tab w:val="clear" w:pos="624"/>
                <w:tab w:val="clear" w:pos="1247"/>
                <w:tab w:val="left" w:pos="0"/>
              </w:tabs>
            </w:pPr>
            <w:r w:rsidRPr="00876D39">
              <w:rPr>
                <w:rtl/>
              </w:rPr>
              <w:t xml:space="preserve">לא ידון כל בית משפט, לרבות בית המשפט העליון בשבתו כבית משפט גבוה לצדק, בסעד או בטענה </w:t>
            </w:r>
            <w:r w:rsidRPr="00876D39">
              <w:rPr>
                <w:rFonts w:hint="eastAsia"/>
                <w:rtl/>
              </w:rPr>
              <w:t>הנוגע</w:t>
            </w:r>
            <w:r w:rsidRPr="00876D39">
              <w:rPr>
                <w:rFonts w:hint="cs"/>
                <w:rtl/>
              </w:rPr>
              <w:t>ים</w:t>
            </w:r>
            <w:r w:rsidRPr="00876D39">
              <w:rPr>
                <w:rtl/>
              </w:rPr>
              <w:t xml:space="preserve"> ל</w:t>
            </w:r>
            <w:r w:rsidRPr="00876D39">
              <w:rPr>
                <w:rFonts w:hint="eastAsia"/>
                <w:rtl/>
              </w:rPr>
              <w:t>תוקפו</w:t>
            </w:r>
            <w:r w:rsidRPr="00876D39">
              <w:rPr>
                <w:rtl/>
              </w:rPr>
              <w:t xml:space="preserve"> של חוק-יסוד; על אף האמור בסעיף 15 ובכל דין, </w:t>
            </w:r>
            <w:r w:rsidRPr="00876D39">
              <w:rPr>
                <w:rFonts w:hint="cs"/>
                <w:rtl/>
              </w:rPr>
              <w:t>לא יהא תוקף ל</w:t>
            </w:r>
            <w:r w:rsidRPr="00876D39">
              <w:rPr>
                <w:rtl/>
              </w:rPr>
              <w:t>פסק דין</w:t>
            </w:r>
            <w:r w:rsidRPr="00876D39">
              <w:rPr>
                <w:rFonts w:hint="cs"/>
                <w:rtl/>
              </w:rPr>
              <w:t>, צו</w:t>
            </w:r>
            <w:r w:rsidRPr="00876D39">
              <w:rPr>
                <w:rtl/>
              </w:rPr>
              <w:t xml:space="preserve"> או החלטה</w:t>
            </w:r>
            <w:r w:rsidRPr="00876D39">
              <w:rPr>
                <w:rFonts w:hint="cs"/>
                <w:rtl/>
              </w:rPr>
              <w:t xml:space="preserve"> אחרים</w:t>
            </w:r>
            <w:r w:rsidRPr="00876D39">
              <w:rPr>
                <w:rtl/>
              </w:rPr>
              <w:t xml:space="preserve"> </w:t>
            </w:r>
            <w:r w:rsidRPr="00876D39">
              <w:rPr>
                <w:rFonts w:hint="cs"/>
                <w:rtl/>
              </w:rPr>
              <w:t xml:space="preserve">של כל בית משפט המבטלים או מגבילים את תוקפו </w:t>
            </w:r>
            <w:r w:rsidRPr="00876D39">
              <w:rPr>
                <w:rtl/>
              </w:rPr>
              <w:t xml:space="preserve">של חוק-יסוד או </w:t>
            </w:r>
            <w:r w:rsidRPr="00876D39">
              <w:rPr>
                <w:rFonts w:hint="cs"/>
                <w:rtl/>
              </w:rPr>
              <w:t xml:space="preserve">של </w:t>
            </w:r>
            <w:r w:rsidRPr="00876D39">
              <w:rPr>
                <w:rtl/>
              </w:rPr>
              <w:t xml:space="preserve">חלקים ממנו </w:t>
            </w:r>
            <w:r w:rsidRPr="00876D39">
              <w:rPr>
                <w:rFonts w:hint="cs"/>
                <w:rtl/>
              </w:rPr>
              <w:t xml:space="preserve">. </w:t>
            </w:r>
          </w:p>
          <w:p w14:paraId="078318F1" w14:textId="77777777" w:rsidR="00613C0C" w:rsidRPr="00876D39" w:rsidRDefault="00613C0C" w:rsidP="00613C0C">
            <w:pPr>
              <w:pStyle w:val="TableBlock"/>
              <w:numPr>
                <w:ilvl w:val="0"/>
                <w:numId w:val="3"/>
              </w:numPr>
              <w:tabs>
                <w:tab w:val="clear" w:pos="624"/>
                <w:tab w:val="clear" w:pos="1247"/>
                <w:tab w:val="left" w:pos="0"/>
              </w:tabs>
              <w:rPr>
                <w:rtl/>
              </w:rPr>
            </w:pPr>
            <w:r w:rsidRPr="00876D39">
              <w:rPr>
                <w:rtl/>
              </w:rPr>
              <w:t xml:space="preserve">בית המשפט העליון בלבד רשאי להורות </w:t>
            </w:r>
            <w:r w:rsidRPr="00876D39">
              <w:rPr>
                <w:rFonts w:hint="cs"/>
                <w:rtl/>
              </w:rPr>
              <w:t xml:space="preserve">בפסק דין </w:t>
            </w:r>
            <w:r w:rsidRPr="00876D39">
              <w:rPr>
                <w:rtl/>
              </w:rPr>
              <w:t>על ביטולו של חוק שאיננו חוק-יסוד, ביטול חלק ממנו או הגבלת תוקפו,</w:t>
            </w:r>
            <w:r w:rsidRPr="00876D39">
              <w:rPr>
                <w:rFonts w:hint="cs"/>
                <w:rtl/>
              </w:rPr>
              <w:t xml:space="preserve"> </w:t>
            </w:r>
            <w:r w:rsidRPr="00876D39">
              <w:rPr>
                <w:rtl/>
              </w:rPr>
              <w:t>בהתקיים כל אלה:</w:t>
            </w:r>
          </w:p>
          <w:p w14:paraId="4B609431" w14:textId="77777777" w:rsidR="00613C0C" w:rsidRPr="00876D39" w:rsidRDefault="00613C0C" w:rsidP="00613C0C">
            <w:pPr>
              <w:pStyle w:val="TableBlock"/>
              <w:numPr>
                <w:ilvl w:val="0"/>
                <w:numId w:val="2"/>
              </w:numPr>
              <w:tabs>
                <w:tab w:val="clear" w:pos="624"/>
              </w:tabs>
              <w:ind w:hanging="156"/>
            </w:pPr>
            <w:r w:rsidRPr="00876D39">
              <w:rPr>
                <w:rtl/>
              </w:rPr>
              <w:t xml:space="preserve">בית המשפט מצא כי החוק סותר </w:t>
            </w:r>
            <w:r w:rsidRPr="00876D39">
              <w:rPr>
                <w:rFonts w:hint="cs"/>
                <w:rtl/>
              </w:rPr>
              <w:t xml:space="preserve">סתירה מהותית </w:t>
            </w:r>
            <w:r w:rsidRPr="00876D39">
              <w:rPr>
                <w:rtl/>
              </w:rPr>
              <w:t>הוראה מפורשת בחוק-יסוד;</w:t>
            </w:r>
          </w:p>
          <w:p w14:paraId="5321EFF2" w14:textId="77777777" w:rsidR="00613C0C" w:rsidRPr="00876D39" w:rsidRDefault="00613C0C" w:rsidP="00613C0C">
            <w:pPr>
              <w:pStyle w:val="TableBlock"/>
              <w:numPr>
                <w:ilvl w:val="0"/>
                <w:numId w:val="2"/>
              </w:numPr>
              <w:tabs>
                <w:tab w:val="clear" w:pos="624"/>
                <w:tab w:val="left" w:pos="0"/>
              </w:tabs>
              <w:ind w:hanging="156"/>
            </w:pPr>
            <w:r w:rsidRPr="00876D39">
              <w:rPr>
                <w:rFonts w:hint="cs"/>
                <w:rtl/>
              </w:rPr>
              <w:t>פסק הדין ניתן</w:t>
            </w:r>
            <w:r w:rsidRPr="00876D39">
              <w:rPr>
                <w:rtl/>
              </w:rPr>
              <w:t xml:space="preserve"> בהרכב </w:t>
            </w:r>
            <w:r w:rsidRPr="00876D39">
              <w:rPr>
                <w:rFonts w:hint="cs"/>
                <w:rtl/>
              </w:rPr>
              <w:t xml:space="preserve">של </w:t>
            </w:r>
            <w:r w:rsidRPr="00876D39">
              <w:rPr>
                <w:rtl/>
              </w:rPr>
              <w:t>כל שופטי בית המשפט העליון</w:t>
            </w:r>
            <w:r w:rsidRPr="00876D39">
              <w:rPr>
                <w:rFonts w:hint="cs"/>
                <w:rtl/>
              </w:rPr>
              <w:t xml:space="preserve">, למעט שופטים שנבצר מהם להשתתף בדיון במשך למעלה מ 30 יום מיום שנדרש בית המשפט העליון להכריע </w:t>
            </w:r>
            <w:proofErr w:type="spellStart"/>
            <w:r w:rsidRPr="00876D39">
              <w:rPr>
                <w:rFonts w:hint="cs"/>
                <w:rtl/>
              </w:rPr>
              <w:t>בענין</w:t>
            </w:r>
            <w:proofErr w:type="spellEnd"/>
            <w:r w:rsidRPr="00876D39">
              <w:rPr>
                <w:rFonts w:hint="cs"/>
                <w:rtl/>
              </w:rPr>
              <w:t>,</w:t>
            </w:r>
            <w:r w:rsidRPr="00876D39">
              <w:rPr>
                <w:rtl/>
              </w:rPr>
              <w:t xml:space="preserve"> </w:t>
            </w:r>
            <w:r w:rsidRPr="00876D39">
              <w:rPr>
                <w:rFonts w:hint="cs"/>
                <w:rtl/>
              </w:rPr>
              <w:t xml:space="preserve">ותמכו בהחלטה לבטל את החוק </w:t>
            </w:r>
            <w:r w:rsidRPr="00876D39">
              <w:rPr>
                <w:rtl/>
              </w:rPr>
              <w:t>שמונים אחוזים מ</w:t>
            </w:r>
            <w:r w:rsidRPr="00876D39">
              <w:rPr>
                <w:rFonts w:hint="cs"/>
                <w:rtl/>
              </w:rPr>
              <w:t xml:space="preserve">כלל </w:t>
            </w:r>
            <w:r w:rsidRPr="00876D39">
              <w:rPr>
                <w:rtl/>
              </w:rPr>
              <w:t>שופטי</w:t>
            </w:r>
            <w:r w:rsidRPr="00876D39">
              <w:rPr>
                <w:rFonts w:hint="cs"/>
                <w:rtl/>
              </w:rPr>
              <w:t xml:space="preserve"> בית המשפט העליון או יותר</w:t>
            </w:r>
            <w:r>
              <w:rPr>
                <w:rFonts w:hint="cs"/>
                <w:rtl/>
              </w:rPr>
              <w:t>.</w:t>
            </w:r>
            <w:r w:rsidRPr="00876D39">
              <w:rPr>
                <w:rFonts w:hint="cs"/>
                <w:rtl/>
              </w:rPr>
              <w:t xml:space="preserve"> </w:t>
            </w:r>
          </w:p>
          <w:p w14:paraId="57FEF014" w14:textId="77777777" w:rsidR="00613C0C" w:rsidRPr="00876D39" w:rsidRDefault="00613C0C" w:rsidP="00613C0C">
            <w:pPr>
              <w:pStyle w:val="TableBlock"/>
              <w:numPr>
                <w:ilvl w:val="0"/>
                <w:numId w:val="3"/>
              </w:numPr>
              <w:tabs>
                <w:tab w:val="clear" w:pos="624"/>
                <w:tab w:val="clear" w:pos="1247"/>
                <w:tab w:val="left" w:pos="0"/>
              </w:tabs>
            </w:pPr>
            <w:r w:rsidRPr="00876D39">
              <w:rPr>
                <w:rFonts w:hint="cs"/>
                <w:rtl/>
              </w:rPr>
              <w:t xml:space="preserve">בית המשפט העליון רשאי לתת צו ביניים בעניין תוקפו של חוק שאיננו חוק-יסוד עד למתן פסק דין, אם מצא כי התקיימו כל אלה: </w:t>
            </w:r>
          </w:p>
          <w:p w14:paraId="6A4D0EF2" w14:textId="77777777" w:rsidR="00613C0C" w:rsidRPr="00876D39" w:rsidRDefault="00613C0C" w:rsidP="00613C0C">
            <w:pPr>
              <w:pStyle w:val="TableBlock"/>
              <w:numPr>
                <w:ilvl w:val="1"/>
                <w:numId w:val="3"/>
              </w:numPr>
              <w:tabs>
                <w:tab w:val="clear" w:pos="624"/>
                <w:tab w:val="left" w:pos="0"/>
              </w:tabs>
            </w:pPr>
            <w:r w:rsidRPr="00876D39">
              <w:rPr>
                <w:rtl/>
              </w:rPr>
              <w:t xml:space="preserve">בית המשפט מצא כי </w:t>
            </w:r>
            <w:r w:rsidRPr="00876D39">
              <w:rPr>
                <w:rFonts w:hint="cs"/>
                <w:rtl/>
              </w:rPr>
              <w:t>יש אפשרות ממשית ש</w:t>
            </w:r>
            <w:r w:rsidRPr="00876D39">
              <w:rPr>
                <w:rtl/>
              </w:rPr>
              <w:t xml:space="preserve">החוק </w:t>
            </w:r>
            <w:r w:rsidRPr="00876D39">
              <w:rPr>
                <w:rFonts w:hint="cs"/>
                <w:rtl/>
              </w:rPr>
              <w:t xml:space="preserve">יימצא </w:t>
            </w:r>
            <w:r w:rsidRPr="00876D39">
              <w:rPr>
                <w:rtl/>
              </w:rPr>
              <w:t xml:space="preserve">סותר </w:t>
            </w:r>
            <w:r w:rsidRPr="00876D39">
              <w:rPr>
                <w:rFonts w:hint="cs"/>
                <w:rtl/>
              </w:rPr>
              <w:t xml:space="preserve">סתירה מהותית </w:t>
            </w:r>
            <w:r w:rsidRPr="00876D39">
              <w:rPr>
                <w:rtl/>
              </w:rPr>
              <w:t>הוראה מפורשת בחוק-יסוד</w:t>
            </w:r>
            <w:r w:rsidRPr="00876D39">
              <w:rPr>
                <w:rFonts w:hint="cs"/>
                <w:rtl/>
              </w:rPr>
              <w:t xml:space="preserve"> וכי בהיעדר צו ביניים תיגרם פגיעה חמורה ובלתי הפיכה לעיקרון המעוגן בחוק-יסוד</w:t>
            </w:r>
            <w:r>
              <w:rPr>
                <w:rFonts w:hint="cs"/>
                <w:rtl/>
              </w:rPr>
              <w:t>;</w:t>
            </w:r>
          </w:p>
          <w:p w14:paraId="29435865" w14:textId="77777777" w:rsidR="00613C0C" w:rsidRPr="00876D39" w:rsidRDefault="00613C0C" w:rsidP="00613C0C">
            <w:pPr>
              <w:pStyle w:val="TableBlock"/>
              <w:numPr>
                <w:ilvl w:val="1"/>
                <w:numId w:val="3"/>
              </w:numPr>
              <w:tabs>
                <w:tab w:val="clear" w:pos="624"/>
                <w:tab w:val="left" w:pos="0"/>
              </w:tabs>
            </w:pPr>
            <w:r w:rsidRPr="00876D39">
              <w:rPr>
                <w:rFonts w:hint="cs"/>
                <w:rtl/>
              </w:rPr>
              <w:t>בהחלטה על מתן הצו תמכו שמונים אחוזים משופטי בית המשפט העליון או יותר</w:t>
            </w:r>
            <w:r>
              <w:rPr>
                <w:rFonts w:hint="cs"/>
                <w:rtl/>
              </w:rPr>
              <w:t>;</w:t>
            </w:r>
          </w:p>
          <w:p w14:paraId="17A2E58C" w14:textId="77777777" w:rsidR="00613C0C" w:rsidRPr="00876D39" w:rsidRDefault="00613C0C" w:rsidP="00613C0C">
            <w:pPr>
              <w:pStyle w:val="TableBlock"/>
              <w:numPr>
                <w:ilvl w:val="1"/>
                <w:numId w:val="3"/>
              </w:numPr>
              <w:tabs>
                <w:tab w:val="clear" w:pos="624"/>
                <w:tab w:val="left" w:pos="0"/>
              </w:tabs>
            </w:pPr>
            <w:r w:rsidRPr="00876D39">
              <w:rPr>
                <w:rFonts w:hint="cs"/>
                <w:rtl/>
              </w:rPr>
              <w:t xml:space="preserve">  תוקפו של צו ביניים כאמור איננו עולה על חודש ימים</w:t>
            </w:r>
            <w:r w:rsidRPr="00876D39">
              <w:rPr>
                <w:rtl/>
              </w:rPr>
              <w:t xml:space="preserve"> ותוקפם המצטבר של צווי </w:t>
            </w:r>
            <w:r w:rsidRPr="00876D39">
              <w:rPr>
                <w:rFonts w:hint="cs"/>
                <w:rtl/>
              </w:rPr>
              <w:t xml:space="preserve">הביניים כולם </w:t>
            </w:r>
            <w:r w:rsidRPr="00876D39">
              <w:rPr>
                <w:rtl/>
              </w:rPr>
              <w:t xml:space="preserve">ביחס לאותו החוק </w:t>
            </w:r>
            <w:r w:rsidRPr="00876D39">
              <w:rPr>
                <w:rFonts w:hint="cs"/>
                <w:rtl/>
              </w:rPr>
              <w:t>איננו עולה ע</w:t>
            </w:r>
            <w:r w:rsidRPr="00876D39">
              <w:rPr>
                <w:rtl/>
              </w:rPr>
              <w:t>ל שלושה חודשים.</w:t>
            </w:r>
            <w:r w:rsidRPr="00876D39">
              <w:rPr>
                <w:rFonts w:hint="cs"/>
                <w:rtl/>
              </w:rPr>
              <w:t xml:space="preserve"> </w:t>
            </w:r>
          </w:p>
          <w:p w14:paraId="5F4CF0F1" w14:textId="77777777" w:rsidR="00613C0C" w:rsidRPr="00876D39" w:rsidRDefault="00613C0C" w:rsidP="00613C0C">
            <w:pPr>
              <w:pStyle w:val="TableBlock"/>
              <w:numPr>
                <w:ilvl w:val="0"/>
                <w:numId w:val="3"/>
              </w:numPr>
              <w:tabs>
                <w:tab w:val="clear" w:pos="624"/>
                <w:tab w:val="clear" w:pos="1247"/>
                <w:tab w:val="left" w:pos="0"/>
              </w:tabs>
              <w:rPr>
                <w:rtl/>
              </w:rPr>
            </w:pPr>
            <w:r w:rsidRPr="00876D39">
              <w:rPr>
                <w:rtl/>
              </w:rPr>
              <w:t xml:space="preserve">קבע בית המשפט העליון </w:t>
            </w:r>
            <w:r w:rsidRPr="00876D39">
              <w:rPr>
                <w:rFonts w:hint="cs"/>
                <w:rtl/>
              </w:rPr>
              <w:t xml:space="preserve">בפסק דין כאמור כי חוק איננו תקף, </w:t>
            </w:r>
            <w:r w:rsidRPr="00876D39">
              <w:rPr>
                <w:rtl/>
              </w:rPr>
              <w:t xml:space="preserve">רשאי הוא לתת הוראה או סעד יחסיים </w:t>
            </w:r>
            <w:r w:rsidRPr="00876D39">
              <w:rPr>
                <w:rFonts w:hint="cs"/>
                <w:rtl/>
              </w:rPr>
              <w:t xml:space="preserve"> </w:t>
            </w:r>
            <w:r w:rsidRPr="00876D39">
              <w:rPr>
                <w:rtl/>
              </w:rPr>
              <w:t xml:space="preserve">הנראים לו דרושים בנסיבות </w:t>
            </w:r>
            <w:proofErr w:type="spellStart"/>
            <w:r w:rsidRPr="00876D39">
              <w:rPr>
                <w:rtl/>
              </w:rPr>
              <w:t>הענין</w:t>
            </w:r>
            <w:proofErr w:type="spellEnd"/>
            <w:r w:rsidRPr="00876D39">
              <w:rPr>
                <w:rtl/>
              </w:rPr>
              <w:t>, לרבות קביעה בדבר מועד התחילה של הוראת הבטלות</w:t>
            </w:r>
            <w:r w:rsidRPr="00876D39">
              <w:rPr>
                <w:rFonts w:hint="cs"/>
                <w:rtl/>
              </w:rPr>
              <w:t>.</w:t>
            </w:r>
          </w:p>
          <w:p w14:paraId="25C43986" w14:textId="77777777" w:rsidR="00613C0C" w:rsidRPr="00876D39" w:rsidRDefault="00613C0C" w:rsidP="00613C0C">
            <w:pPr>
              <w:pStyle w:val="TableBlock"/>
              <w:numPr>
                <w:ilvl w:val="0"/>
                <w:numId w:val="3"/>
              </w:numPr>
              <w:tabs>
                <w:tab w:val="clear" w:pos="624"/>
                <w:tab w:val="clear" w:pos="1247"/>
                <w:tab w:val="left" w:pos="0"/>
              </w:tabs>
              <w:rPr>
                <w:rtl/>
              </w:rPr>
            </w:pPr>
            <w:r w:rsidRPr="00876D39">
              <w:rPr>
                <w:rtl/>
              </w:rPr>
              <w:t>כוח</w:t>
            </w:r>
            <w:r w:rsidRPr="00876D39">
              <w:rPr>
                <w:rFonts w:hint="cs"/>
                <w:rtl/>
              </w:rPr>
              <w:t>ו</w:t>
            </w:r>
            <w:r w:rsidRPr="00876D39">
              <w:rPr>
                <w:rtl/>
              </w:rPr>
              <w:t xml:space="preserve"> של פס</w:t>
            </w:r>
            <w:r w:rsidRPr="00876D39">
              <w:rPr>
                <w:rFonts w:hint="cs"/>
                <w:rtl/>
              </w:rPr>
              <w:t xml:space="preserve">ק-דין </w:t>
            </w:r>
            <w:r w:rsidRPr="00876D39">
              <w:rPr>
                <w:rtl/>
              </w:rPr>
              <w:t>כאמור בסעיפים קטנים (</w:t>
            </w:r>
            <w:r w:rsidRPr="00876D39">
              <w:rPr>
                <w:rFonts w:hint="cs"/>
                <w:rtl/>
              </w:rPr>
              <w:t>ב</w:t>
            </w:r>
            <w:r w:rsidRPr="00876D39">
              <w:rPr>
                <w:rtl/>
              </w:rPr>
              <w:t>) ו-(</w:t>
            </w:r>
            <w:r w:rsidRPr="00876D39">
              <w:rPr>
                <w:rFonts w:hint="cs"/>
                <w:rtl/>
              </w:rPr>
              <w:t>ג</w:t>
            </w:r>
            <w:r w:rsidRPr="00876D39">
              <w:rPr>
                <w:rtl/>
              </w:rPr>
              <w:t>) יפה רק לעניין הוראת החוק שנדונה ב</w:t>
            </w:r>
            <w:r w:rsidRPr="00876D39">
              <w:rPr>
                <w:rFonts w:hint="cs"/>
                <w:rtl/>
              </w:rPr>
              <w:t>ו והוא לא ישמש תקדים ביחס לתוקפו של חוק אחר.</w:t>
            </w:r>
          </w:p>
          <w:p w14:paraId="73DF99B3" w14:textId="77777777" w:rsidR="00613C0C" w:rsidRPr="00876D39" w:rsidRDefault="00613C0C" w:rsidP="00613C0C">
            <w:pPr>
              <w:pStyle w:val="TableBlock"/>
              <w:numPr>
                <w:ilvl w:val="0"/>
                <w:numId w:val="3"/>
              </w:numPr>
              <w:tabs>
                <w:tab w:val="clear" w:pos="624"/>
                <w:tab w:val="clear" w:pos="1247"/>
                <w:tab w:val="left" w:pos="0"/>
              </w:tabs>
              <w:rPr>
                <w:rtl/>
              </w:rPr>
            </w:pPr>
            <w:r w:rsidRPr="00876D39">
              <w:rPr>
                <w:rtl/>
              </w:rPr>
              <w:t xml:space="preserve">בית משפט אינו </w:t>
            </w:r>
            <w:r w:rsidRPr="00876D39">
              <w:rPr>
                <w:rFonts w:hint="cs"/>
                <w:rtl/>
              </w:rPr>
              <w:t>רשאי</w:t>
            </w:r>
            <w:r w:rsidRPr="00876D39">
              <w:rPr>
                <w:rtl/>
              </w:rPr>
              <w:t xml:space="preserve"> להורות לכנסת לחוקק חוק</w:t>
            </w:r>
            <w:r w:rsidRPr="00876D39">
              <w:rPr>
                <w:rFonts w:hint="cs"/>
                <w:rtl/>
              </w:rPr>
              <w:t>-יסוד או חוק,</w:t>
            </w:r>
            <w:r w:rsidRPr="00876D39">
              <w:rPr>
                <w:rtl/>
              </w:rPr>
              <w:t xml:space="preserve"> להימנע מלחוקק חו</w:t>
            </w:r>
            <w:r w:rsidRPr="00876D39">
              <w:rPr>
                <w:rFonts w:hint="cs"/>
                <w:rtl/>
              </w:rPr>
              <w:t>ק-יסוד או חוק, להורות על עיכוב בהליכי חקיקתם בכנסת או הכנתם על ידי הממשלה, ואין הוא רשאי למנוע פרסומם ברשומות או את כניסתם לתוקף בכל דרך אחרת.</w:t>
            </w:r>
          </w:p>
          <w:p w14:paraId="641867EE" w14:textId="77777777" w:rsidR="00613C0C" w:rsidRPr="00876D39" w:rsidRDefault="00613C0C" w:rsidP="00F01698">
            <w:pPr>
              <w:pStyle w:val="TableBlock"/>
              <w:tabs>
                <w:tab w:val="clear" w:pos="624"/>
                <w:tab w:val="left" w:pos="0"/>
              </w:tabs>
              <w:ind w:left="139"/>
              <w:rPr>
                <w:rtl/>
              </w:rPr>
            </w:pPr>
          </w:p>
        </w:tc>
      </w:tr>
      <w:tr w:rsidR="00613C0C" w14:paraId="531D7006" w14:textId="77777777" w:rsidTr="00F01698">
        <w:trPr>
          <w:cantSplit/>
          <w:trHeight w:val="5835"/>
        </w:trPr>
        <w:tc>
          <w:tcPr>
            <w:tcW w:w="1843" w:type="dxa"/>
            <w:vMerge w:val="restart"/>
          </w:tcPr>
          <w:p w14:paraId="23E02A82" w14:textId="77777777" w:rsidR="00613C0C" w:rsidRDefault="00613C0C" w:rsidP="00F01698">
            <w:pPr>
              <w:pStyle w:val="TableSideHeading"/>
              <w:keepLines w:val="0"/>
              <w:rPr>
                <w:rtl/>
              </w:rPr>
            </w:pPr>
            <w:r>
              <w:rPr>
                <w:rFonts w:ascii="Times New Roman" w:eastAsia="Times New Roman" w:hAnsi="Times New Roman"/>
                <w:color w:val="auto"/>
                <w:sz w:val="24"/>
                <w:szCs w:val="24"/>
                <w:lang w:eastAsia="en-US"/>
              </w:rPr>
              <w:lastRenderedPageBreak/>
              <w:br w:type="page"/>
            </w:r>
          </w:p>
        </w:tc>
        <w:tc>
          <w:tcPr>
            <w:tcW w:w="425" w:type="dxa"/>
            <w:vMerge w:val="restart"/>
          </w:tcPr>
          <w:p w14:paraId="69CB85D4" w14:textId="77777777" w:rsidR="00613C0C" w:rsidRDefault="00613C0C" w:rsidP="00F01698">
            <w:pPr>
              <w:pStyle w:val="TableText"/>
              <w:keepLines w:val="0"/>
              <w:rPr>
                <w:rtl/>
              </w:rPr>
            </w:pPr>
          </w:p>
        </w:tc>
        <w:tc>
          <w:tcPr>
            <w:tcW w:w="7507" w:type="dxa"/>
          </w:tcPr>
          <w:p w14:paraId="3FDA1698" w14:textId="77777777" w:rsidR="00613C0C" w:rsidRPr="00B75820" w:rsidRDefault="00613C0C" w:rsidP="00613C0C">
            <w:pPr>
              <w:pStyle w:val="TableBlock"/>
              <w:numPr>
                <w:ilvl w:val="0"/>
                <w:numId w:val="3"/>
              </w:numPr>
            </w:pPr>
            <w:r w:rsidRPr="00B75820">
              <w:rPr>
                <w:rFonts w:hint="cs"/>
                <w:rtl/>
              </w:rPr>
              <w:t xml:space="preserve">הורה בית המשפט העליון על ביטולו של חוק, ביטול חלק ממנו או הגבלת תוקפו, לרבות בצו ביניים, כאמור בסעיפים קטנים (ב), (ג) או (ד), וחוקקה הכנסת לאחר מכן חוק זהה לו, לא יוכל בית המשפט לבטלו, כולו או חלקו או להגביל את תוקפו במשך ארבע שנים או עד חלוף שנה מיום השבעתה של כנסת חדשה לאחר חקיקת חוק כאמור </w:t>
            </w:r>
            <w:r w:rsidRPr="00B75820">
              <w:rPr>
                <w:rtl/>
              </w:rPr>
              <w:t>–</w:t>
            </w:r>
            <w:r w:rsidRPr="00B75820">
              <w:rPr>
                <w:rFonts w:hint="cs"/>
                <w:rtl/>
              </w:rPr>
              <w:t xml:space="preserve"> לפי המאוחר, אם נתקיימו כל אלה:</w:t>
            </w:r>
            <w:r w:rsidRPr="00B75820">
              <w:rPr>
                <w:rFonts w:hint="cs"/>
              </w:rPr>
              <w:t xml:space="preserve"> </w:t>
            </w:r>
          </w:p>
          <w:p w14:paraId="2CA1935F" w14:textId="77777777" w:rsidR="00613C0C" w:rsidRPr="00B75820" w:rsidRDefault="00613C0C" w:rsidP="00613C0C">
            <w:pPr>
              <w:pStyle w:val="TableBlock"/>
              <w:numPr>
                <w:ilvl w:val="1"/>
                <w:numId w:val="3"/>
              </w:numPr>
            </w:pPr>
            <w:r w:rsidRPr="00B75820">
              <w:rPr>
                <w:rFonts w:hint="cs"/>
                <w:rtl/>
              </w:rPr>
              <w:t>החלטת בית המשפט העליון אשר ביטלה כאמור את החוק שקדם לו לא נתקבלה בהסכמת כל שופטיו</w:t>
            </w:r>
            <w:r>
              <w:rPr>
                <w:rFonts w:hint="cs"/>
                <w:rtl/>
              </w:rPr>
              <w:t>;</w:t>
            </w:r>
          </w:p>
          <w:p w14:paraId="4D9F684C" w14:textId="77777777" w:rsidR="00613C0C" w:rsidRPr="00B75820" w:rsidRDefault="00613C0C" w:rsidP="00613C0C">
            <w:pPr>
              <w:pStyle w:val="TableBlock"/>
              <w:numPr>
                <w:ilvl w:val="1"/>
                <w:numId w:val="3"/>
              </w:numPr>
            </w:pPr>
            <w:r w:rsidRPr="00B75820">
              <w:rPr>
                <w:rFonts w:hint="cs"/>
                <w:rtl/>
              </w:rPr>
              <w:t>הכנסת חוקקה את החוק כאמור ברוב חבריה</w:t>
            </w:r>
            <w:r>
              <w:rPr>
                <w:rFonts w:hint="cs"/>
                <w:rtl/>
              </w:rPr>
              <w:t>;</w:t>
            </w:r>
          </w:p>
          <w:p w14:paraId="7770FBB4" w14:textId="77777777" w:rsidR="00613C0C" w:rsidRPr="00B75820" w:rsidRDefault="00613C0C" w:rsidP="00613C0C">
            <w:pPr>
              <w:pStyle w:val="TableBlock"/>
              <w:numPr>
                <w:ilvl w:val="1"/>
                <w:numId w:val="3"/>
              </w:numPr>
            </w:pPr>
            <w:r w:rsidRPr="00B75820">
              <w:rPr>
                <w:rFonts w:hint="cs"/>
                <w:rtl/>
              </w:rPr>
              <w:t>נאמר בחוק כי הוא יעמוד בתוקפו על אף האמור בפסיקת בית המשפט</w:t>
            </w:r>
            <w:r>
              <w:rPr>
                <w:rFonts w:hint="cs"/>
                <w:rtl/>
              </w:rPr>
              <w:t>;</w:t>
            </w:r>
          </w:p>
          <w:p w14:paraId="44752F43" w14:textId="77777777" w:rsidR="00613C0C" w:rsidRPr="00B75820" w:rsidRDefault="00613C0C" w:rsidP="00613C0C">
            <w:pPr>
              <w:pStyle w:val="TableBlock"/>
              <w:numPr>
                <w:ilvl w:val="0"/>
                <w:numId w:val="3"/>
              </w:numPr>
            </w:pPr>
            <w:r w:rsidRPr="00B75820">
              <w:rPr>
                <w:rFonts w:hint="cs"/>
                <w:rtl/>
              </w:rPr>
              <w:t>חוקקה הכנסת חוק כאמור בסעיף קטן (ז)</w:t>
            </w:r>
            <w:r>
              <w:rPr>
                <w:rFonts w:hint="cs"/>
                <w:rtl/>
              </w:rPr>
              <w:t xml:space="preserve"> ובנסיבות כאמור בסעיף קטן זה</w:t>
            </w:r>
            <w:r w:rsidRPr="00B75820">
              <w:rPr>
                <w:rFonts w:hint="cs"/>
                <w:rtl/>
              </w:rPr>
              <w:t xml:space="preserve"> וכנסת שהושבעה לאחר הכנסת שחוקקה חוק כאמור שבה וחוקקה ברוב חבריה חוק זהה לחוק כאמור, לא יוכל בית המשפט העליון לבטל את תוקפו, כולו או חלקו או להגביל את תוקפו - ללא מגבלת זמן. </w:t>
            </w:r>
          </w:p>
          <w:p w14:paraId="5EA2F561" w14:textId="77777777" w:rsidR="00613C0C" w:rsidRPr="00B75820" w:rsidRDefault="00613C0C" w:rsidP="00613C0C">
            <w:pPr>
              <w:pStyle w:val="TableBlock"/>
              <w:numPr>
                <w:ilvl w:val="0"/>
                <w:numId w:val="3"/>
              </w:numPr>
            </w:pPr>
            <w:r w:rsidRPr="00B75820">
              <w:rPr>
                <w:rFonts w:hint="cs"/>
                <w:rtl/>
              </w:rPr>
              <w:t xml:space="preserve">הורה בית המשפט העליון על ביטולו של חוק, ביטול חלק ממנו או הגבלת תוקפו, לרבות בצו ביניים, כאמור בסעיפים קטנים (ב), (ג) או (ד), </w:t>
            </w:r>
            <w:r>
              <w:rPr>
                <w:rFonts w:hint="cs"/>
                <w:rtl/>
              </w:rPr>
              <w:t xml:space="preserve">והחלטת בית המשפט בעניין </w:t>
            </w:r>
            <w:r w:rsidRPr="00B75820">
              <w:rPr>
                <w:rFonts w:hint="cs"/>
                <w:rtl/>
              </w:rPr>
              <w:t>נתקבלה בהסכמת כל שופטיו</w:t>
            </w:r>
            <w:r>
              <w:rPr>
                <w:rFonts w:hint="cs"/>
                <w:rtl/>
              </w:rPr>
              <w:t xml:space="preserve"> </w:t>
            </w:r>
            <w:r w:rsidRPr="00B75820">
              <w:rPr>
                <w:rFonts w:hint="cs"/>
                <w:rtl/>
              </w:rPr>
              <w:t>וחוקקה הכנסת לאחר מכן חוק זהה לו, לא יוכל בית המשפט לבטלו, כולו או חלקו או להגביל את תוקפו אם נתקיימו כל אלה:</w:t>
            </w:r>
            <w:r w:rsidRPr="00B75820">
              <w:rPr>
                <w:rFonts w:hint="cs"/>
              </w:rPr>
              <w:t xml:space="preserve"> </w:t>
            </w:r>
          </w:p>
          <w:p w14:paraId="2CAC747D" w14:textId="77777777" w:rsidR="00613C0C" w:rsidRDefault="00613C0C" w:rsidP="00613C0C">
            <w:pPr>
              <w:pStyle w:val="TableBlock"/>
              <w:numPr>
                <w:ilvl w:val="1"/>
                <w:numId w:val="3"/>
              </w:numPr>
            </w:pPr>
            <w:r w:rsidRPr="00B75820">
              <w:rPr>
                <w:rFonts w:hint="cs"/>
                <w:rtl/>
              </w:rPr>
              <w:t>הכנסת חוקקה את החוק כאמור ברוב חבריה</w:t>
            </w:r>
            <w:r>
              <w:rPr>
                <w:rFonts w:hint="cs"/>
                <w:rtl/>
              </w:rPr>
              <w:t>;</w:t>
            </w:r>
          </w:p>
          <w:p w14:paraId="6EFDA89D" w14:textId="77777777" w:rsidR="00613C0C" w:rsidRDefault="00613C0C" w:rsidP="00613C0C">
            <w:pPr>
              <w:pStyle w:val="TableBlock"/>
              <w:numPr>
                <w:ilvl w:val="1"/>
                <w:numId w:val="3"/>
              </w:numPr>
            </w:pPr>
            <w:r w:rsidRPr="00B75820">
              <w:rPr>
                <w:rFonts w:hint="cs"/>
                <w:rtl/>
              </w:rPr>
              <w:t>נאמר בחוק</w:t>
            </w:r>
            <w:r>
              <w:rPr>
                <w:rFonts w:hint="cs"/>
                <w:rtl/>
              </w:rPr>
              <w:t xml:space="preserve"> ובנוסח הצעת החוק שאושר בקריאה ראשונה</w:t>
            </w:r>
            <w:r w:rsidRPr="00B75820">
              <w:rPr>
                <w:rFonts w:hint="cs"/>
                <w:rtl/>
              </w:rPr>
              <w:t xml:space="preserve"> כי הוא יעמוד בתוקפו על אף האמור בפסיקת בית המשפט</w:t>
            </w:r>
            <w:r>
              <w:rPr>
                <w:rFonts w:hint="cs"/>
                <w:rtl/>
              </w:rPr>
              <w:t>;</w:t>
            </w:r>
          </w:p>
          <w:p w14:paraId="143A7AA3" w14:textId="77777777" w:rsidR="00613C0C" w:rsidRDefault="00613C0C" w:rsidP="00613C0C">
            <w:pPr>
              <w:pStyle w:val="TableBlock"/>
              <w:numPr>
                <w:ilvl w:val="1"/>
                <w:numId w:val="3"/>
              </w:numPr>
            </w:pPr>
            <w:r>
              <w:rPr>
                <w:rFonts w:hint="cs"/>
                <w:rtl/>
              </w:rPr>
              <w:t>החוק נחקק על ידי כנסת שהושבעה לאחר הכנסת אשר חוקקה את החוק שבית המשפט העליון הורה על ביטולו.</w:t>
            </w:r>
          </w:p>
          <w:p w14:paraId="227F6C66" w14:textId="77777777" w:rsidR="00613C0C" w:rsidRPr="00B75820" w:rsidRDefault="00613C0C" w:rsidP="00613C0C">
            <w:pPr>
              <w:pStyle w:val="TableBlock"/>
              <w:numPr>
                <w:ilvl w:val="0"/>
                <w:numId w:val="3"/>
              </w:numPr>
              <w:rPr>
                <w:rtl/>
              </w:rPr>
            </w:pPr>
            <w:r w:rsidRPr="00B75820">
              <w:rPr>
                <w:rtl/>
              </w:rPr>
              <w:t>על אף האמור בסעיף 15 לחוק יסוד: השפיטה</w:t>
            </w:r>
            <w:r w:rsidRPr="00B75820">
              <w:rPr>
                <w:vertAlign w:val="superscript"/>
                <w:rtl/>
              </w:rPr>
              <w:footnoteReference w:id="2"/>
            </w:r>
            <w:r w:rsidRPr="00B75820">
              <w:rPr>
                <w:rtl/>
              </w:rPr>
              <w:t xml:space="preserve"> ובכל דין, </w:t>
            </w:r>
            <w:r w:rsidRPr="00B75820">
              <w:rPr>
                <w:rFonts w:hint="cs"/>
                <w:rtl/>
              </w:rPr>
              <w:t>לא יהא</w:t>
            </w:r>
            <w:r w:rsidRPr="00B75820">
              <w:rPr>
                <w:rtl/>
              </w:rPr>
              <w:t xml:space="preserve"> תוקף לפסק דין או החלטה המורה על ביטולו של חוק, ביטול חלק ממנו או הגבלת תוקפו שלא לפי סעיף זה</w:t>
            </w:r>
            <w:r w:rsidRPr="00B75820">
              <w:rPr>
                <w:rFonts w:hint="cs"/>
                <w:rtl/>
              </w:rPr>
              <w:t xml:space="preserve"> ולא יהא תוקף לפסק דין או החלטה המורה לחוקק חוק, להימנע מלחוקק חוק או לעצור הליכי חקיקה או הליכי כניסת חוק לתוקף כאמור בסעיף קטן (ו)</w:t>
            </w:r>
            <w:r w:rsidRPr="00B75820">
              <w:rPr>
                <w:rtl/>
              </w:rPr>
              <w:t>.</w:t>
            </w:r>
          </w:p>
          <w:p w14:paraId="0D6E4CD7" w14:textId="77777777" w:rsidR="00613C0C" w:rsidRPr="00B75820" w:rsidRDefault="00613C0C" w:rsidP="00F01698">
            <w:pPr>
              <w:pStyle w:val="TableBlock"/>
              <w:ind w:left="502"/>
              <w:rPr>
                <w:rtl/>
              </w:rPr>
            </w:pPr>
          </w:p>
          <w:p w14:paraId="5B868808" w14:textId="77777777" w:rsidR="00613C0C" w:rsidRDefault="00613C0C" w:rsidP="00F01698">
            <w:pPr>
              <w:pStyle w:val="TableBlock"/>
              <w:ind w:left="502"/>
              <w:rPr>
                <w:rtl/>
              </w:rPr>
            </w:pPr>
          </w:p>
        </w:tc>
      </w:tr>
      <w:tr w:rsidR="00613C0C" w14:paraId="40062412" w14:textId="77777777" w:rsidTr="00F01698">
        <w:trPr>
          <w:cantSplit/>
          <w:trHeight w:val="5835"/>
        </w:trPr>
        <w:tc>
          <w:tcPr>
            <w:tcW w:w="1843" w:type="dxa"/>
            <w:vMerge/>
          </w:tcPr>
          <w:p w14:paraId="2B5F7D35" w14:textId="77777777" w:rsidR="00613C0C" w:rsidRDefault="00613C0C" w:rsidP="00F01698">
            <w:pPr>
              <w:pStyle w:val="TableSideHeading"/>
              <w:keepLines w:val="0"/>
              <w:rPr>
                <w:rFonts w:ascii="Times New Roman" w:eastAsia="Times New Roman" w:hAnsi="Times New Roman"/>
                <w:color w:val="auto"/>
                <w:sz w:val="24"/>
                <w:szCs w:val="24"/>
                <w:lang w:eastAsia="en-US"/>
              </w:rPr>
            </w:pPr>
          </w:p>
        </w:tc>
        <w:tc>
          <w:tcPr>
            <w:tcW w:w="425" w:type="dxa"/>
            <w:vMerge/>
          </w:tcPr>
          <w:p w14:paraId="09532ABB" w14:textId="77777777" w:rsidR="00613C0C" w:rsidRDefault="00613C0C" w:rsidP="00F01698">
            <w:pPr>
              <w:pStyle w:val="TableText"/>
              <w:keepLines w:val="0"/>
              <w:rPr>
                <w:rtl/>
              </w:rPr>
            </w:pPr>
          </w:p>
        </w:tc>
        <w:tc>
          <w:tcPr>
            <w:tcW w:w="7507" w:type="dxa"/>
          </w:tcPr>
          <w:p w14:paraId="569AFE8E" w14:textId="77777777" w:rsidR="00613C0C" w:rsidRPr="00B75820" w:rsidRDefault="00613C0C" w:rsidP="00613C0C">
            <w:pPr>
              <w:pStyle w:val="TableBlock"/>
              <w:numPr>
                <w:ilvl w:val="0"/>
                <w:numId w:val="3"/>
              </w:numPr>
              <w:rPr>
                <w:rtl/>
              </w:rPr>
            </w:pPr>
            <w:r w:rsidRPr="00B75820">
              <w:rPr>
                <w:rFonts w:hint="cs"/>
                <w:rtl/>
              </w:rPr>
              <w:t>התעוררה בפני</w:t>
            </w:r>
            <w:r w:rsidRPr="00B75820">
              <w:rPr>
                <w:rtl/>
              </w:rPr>
              <w:t xml:space="preserve"> שופט, הרכב שופטים או </w:t>
            </w:r>
            <w:r w:rsidRPr="00B75820">
              <w:rPr>
                <w:rFonts w:hint="cs"/>
                <w:rtl/>
              </w:rPr>
              <w:t>מי שבידיו סמכות שפיטה,</w:t>
            </w:r>
            <w:r w:rsidRPr="00B75820">
              <w:rPr>
                <w:rtl/>
              </w:rPr>
              <w:t xml:space="preserve"> </w:t>
            </w:r>
            <w:r w:rsidRPr="00B75820">
              <w:rPr>
                <w:rFonts w:hint="cs"/>
                <w:rtl/>
              </w:rPr>
              <w:t xml:space="preserve">טענה בעניין </w:t>
            </w:r>
            <w:r w:rsidRPr="00B75820">
              <w:rPr>
                <w:rtl/>
              </w:rPr>
              <w:t>תוקפו של חוק אגב דיון ב</w:t>
            </w:r>
            <w:r w:rsidRPr="00B75820">
              <w:rPr>
                <w:rFonts w:hint="cs"/>
                <w:rtl/>
              </w:rPr>
              <w:t>עניין ה</w:t>
            </w:r>
            <w:r w:rsidRPr="00B75820">
              <w:rPr>
                <w:rtl/>
              </w:rPr>
              <w:t>מצוי בסמכותו</w:t>
            </w:r>
            <w:r w:rsidRPr="00B75820">
              <w:rPr>
                <w:rFonts w:hint="cs"/>
                <w:rtl/>
              </w:rPr>
              <w:t>,</w:t>
            </w:r>
            <w:r w:rsidRPr="00B75820">
              <w:rPr>
                <w:rtl/>
              </w:rPr>
              <w:t xml:space="preserve"> רשאי </w:t>
            </w:r>
            <w:r w:rsidRPr="00B75820">
              <w:rPr>
                <w:rFonts w:hint="cs"/>
                <w:rtl/>
              </w:rPr>
              <w:t>הוא לדחותה</w:t>
            </w:r>
            <w:r w:rsidRPr="00B75820">
              <w:rPr>
                <w:rtl/>
              </w:rPr>
              <w:t xml:space="preserve">; מצא השופט, ההרכב או </w:t>
            </w:r>
            <w:r w:rsidRPr="00B75820">
              <w:rPr>
                <w:rFonts w:hint="cs"/>
                <w:rtl/>
              </w:rPr>
              <w:t xml:space="preserve">מי שבידיו סמכות שיפוטית כאמור, לרבות שופט או הרכב של בית המשפט העליון שלא כאמור בסעיף קטן (ב), </w:t>
            </w:r>
            <w:r w:rsidRPr="00B75820">
              <w:rPr>
                <w:rtl/>
              </w:rPr>
              <w:t xml:space="preserve"> כי יש לבטל חוק, כולו או חלקו, או להגביל את תוקפו, לרבות במתן צו ביניים בעניינו, י</w:t>
            </w:r>
            <w:r w:rsidRPr="00B75820">
              <w:rPr>
                <w:rFonts w:hint="cs"/>
                <w:rtl/>
              </w:rPr>
              <w:t>ורה לאפשר לצדדים להליך לה</w:t>
            </w:r>
            <w:r w:rsidRPr="00B75820">
              <w:rPr>
                <w:rtl/>
              </w:rPr>
              <w:t>עביר את הדיון וההחלטה ב</w:t>
            </w:r>
            <w:r w:rsidRPr="00B75820">
              <w:rPr>
                <w:rFonts w:hint="cs"/>
                <w:rtl/>
              </w:rPr>
              <w:t>שאלת</w:t>
            </w:r>
            <w:r w:rsidRPr="00B75820">
              <w:rPr>
                <w:rtl/>
              </w:rPr>
              <w:t xml:space="preserve"> </w:t>
            </w:r>
            <w:r w:rsidRPr="00B75820">
              <w:rPr>
                <w:rFonts w:hint="cs"/>
                <w:rtl/>
              </w:rPr>
              <w:t>תוקפו של החוק</w:t>
            </w:r>
            <w:r w:rsidRPr="00B75820">
              <w:rPr>
                <w:rtl/>
              </w:rPr>
              <w:t xml:space="preserve"> </w:t>
            </w:r>
            <w:r w:rsidRPr="00B75820">
              <w:rPr>
                <w:rFonts w:hint="cs"/>
                <w:rtl/>
              </w:rPr>
              <w:t>בלבד</w:t>
            </w:r>
            <w:r>
              <w:rPr>
                <w:rFonts w:hint="cs"/>
                <w:rtl/>
              </w:rPr>
              <w:t>, באמצעות עתירה לביטול חוק,</w:t>
            </w:r>
            <w:r w:rsidRPr="00B75820">
              <w:rPr>
                <w:rFonts w:hint="cs"/>
                <w:rtl/>
              </w:rPr>
              <w:t xml:space="preserve"> </w:t>
            </w:r>
            <w:r w:rsidRPr="00B75820">
              <w:rPr>
                <w:rtl/>
              </w:rPr>
              <w:t>ל</w:t>
            </w:r>
            <w:r w:rsidRPr="00B75820">
              <w:rPr>
                <w:rFonts w:hint="cs"/>
                <w:rtl/>
              </w:rPr>
              <w:t xml:space="preserve">הרכב של </w:t>
            </w:r>
            <w:r w:rsidRPr="00B75820">
              <w:rPr>
                <w:rtl/>
              </w:rPr>
              <w:t>בית המשפט העליון לפי סעיף</w:t>
            </w:r>
            <w:r w:rsidRPr="00B75820">
              <w:rPr>
                <w:rFonts w:hint="cs"/>
                <w:rtl/>
              </w:rPr>
              <w:t xml:space="preserve"> קטן (ב) בטרם יסיים את הכרעתו ביתר הטענות </w:t>
            </w:r>
            <w:proofErr w:type="spellStart"/>
            <w:r w:rsidRPr="00B75820">
              <w:rPr>
                <w:rFonts w:hint="cs"/>
                <w:rtl/>
              </w:rPr>
              <w:t>והסעדים</w:t>
            </w:r>
            <w:proofErr w:type="spellEnd"/>
            <w:r w:rsidRPr="00B75820">
              <w:rPr>
                <w:rFonts w:hint="cs"/>
                <w:rtl/>
              </w:rPr>
              <w:t xml:space="preserve"> שבאותו עניין; </w:t>
            </w:r>
            <w:r>
              <w:rPr>
                <w:rFonts w:hint="cs"/>
                <w:rtl/>
              </w:rPr>
              <w:t xml:space="preserve">בית המשפט העליון רשאי לדון תחילה בעתירה לביטול חוק בהרכב של שלושה שופטים שיהיו מוסמכים לדחות את העתירה ויעבירו את העתירה להרכב כאמור בסעיף קטן (ב) רק אם מצאו כי יש לבטל את החוק, כולו או חלקו או להגביל את תוקפו. </w:t>
            </w:r>
          </w:p>
          <w:p w14:paraId="13247763" w14:textId="77777777" w:rsidR="00613C0C" w:rsidRPr="00B75820" w:rsidRDefault="00613C0C" w:rsidP="00613C0C">
            <w:pPr>
              <w:pStyle w:val="TableBlock"/>
              <w:numPr>
                <w:ilvl w:val="0"/>
                <w:numId w:val="3"/>
              </w:numPr>
            </w:pPr>
            <w:r w:rsidRPr="00B75820">
              <w:rPr>
                <w:rtl/>
              </w:rPr>
              <w:t>"חוק</w:t>
            </w:r>
            <w:r w:rsidRPr="00B75820">
              <w:rPr>
                <w:rFonts w:hint="cs"/>
                <w:rtl/>
              </w:rPr>
              <w:t xml:space="preserve"> יסוד</w:t>
            </w:r>
            <w:r w:rsidRPr="00B75820">
              <w:rPr>
                <w:rtl/>
              </w:rPr>
              <w:t>" לעניין סעיף זה – כל הוראה מתוך הצעת חוק</w:t>
            </w:r>
            <w:r w:rsidRPr="00B75820">
              <w:rPr>
                <w:rFonts w:hint="cs"/>
                <w:rtl/>
              </w:rPr>
              <w:t xml:space="preserve">-יסוד </w:t>
            </w:r>
            <w:r w:rsidRPr="00B75820">
              <w:rPr>
                <w:rtl/>
              </w:rPr>
              <w:t>שאישרה מליאת הכנסת במספר הקריאות הדרוש</w:t>
            </w:r>
            <w:r w:rsidRPr="00B75820">
              <w:rPr>
                <w:rFonts w:hint="cs"/>
                <w:rtl/>
              </w:rPr>
              <w:t xml:space="preserve"> לשם חקיקתה</w:t>
            </w:r>
            <w:r w:rsidRPr="00B75820">
              <w:rPr>
                <w:rtl/>
              </w:rPr>
              <w:t xml:space="preserve"> וברוב הדרוש </w:t>
            </w:r>
            <w:r w:rsidRPr="00B75820">
              <w:rPr>
                <w:rFonts w:hint="cs"/>
                <w:rtl/>
              </w:rPr>
              <w:t>לשם חקיקתה</w:t>
            </w:r>
            <w:r w:rsidRPr="00B75820">
              <w:rPr>
                <w:rtl/>
              </w:rPr>
              <w:t xml:space="preserve"> ופורסמה ב</w:t>
            </w:r>
            <w:r w:rsidRPr="00B75820">
              <w:rPr>
                <w:rFonts w:hint="cs"/>
                <w:rtl/>
              </w:rPr>
              <w:t xml:space="preserve">רשומות  </w:t>
            </w:r>
            <w:r w:rsidRPr="00B75820">
              <w:rPr>
                <w:rtl/>
              </w:rPr>
              <w:t>- ללא תלות בתכניה, במשך תוקפה או בטיב יתר ההליכים לחקיקתה.</w:t>
            </w:r>
          </w:p>
          <w:p w14:paraId="7904D6B8" w14:textId="77777777" w:rsidR="00613C0C" w:rsidRPr="00B75820" w:rsidRDefault="00613C0C" w:rsidP="00613C0C">
            <w:pPr>
              <w:pStyle w:val="TableBlock"/>
              <w:numPr>
                <w:ilvl w:val="0"/>
                <w:numId w:val="3"/>
              </w:numPr>
            </w:pPr>
            <w:r w:rsidRPr="00B75820">
              <w:rPr>
                <w:rFonts w:hint="cs"/>
                <w:rtl/>
              </w:rPr>
              <w:t xml:space="preserve"> </w:t>
            </w:r>
            <w:r w:rsidRPr="00B75820">
              <w:rPr>
                <w:rtl/>
              </w:rPr>
              <w:t>"חוק" לעניין סעיף זה – כל הוראה מתוך הצעת חוק</w:t>
            </w:r>
            <w:r w:rsidRPr="00B75820">
              <w:rPr>
                <w:rFonts w:hint="cs"/>
                <w:rtl/>
              </w:rPr>
              <w:t xml:space="preserve"> </w:t>
            </w:r>
            <w:r w:rsidRPr="00B75820">
              <w:rPr>
                <w:rtl/>
              </w:rPr>
              <w:t>שאישרה מליאת הכנסת במספר הקריאות הדרוש</w:t>
            </w:r>
            <w:r w:rsidRPr="00B75820">
              <w:rPr>
                <w:rFonts w:hint="cs"/>
                <w:rtl/>
              </w:rPr>
              <w:t xml:space="preserve"> לשם חקיקתה</w:t>
            </w:r>
            <w:r w:rsidRPr="00B75820">
              <w:rPr>
                <w:rtl/>
              </w:rPr>
              <w:t xml:space="preserve"> וברוב הדרוש </w:t>
            </w:r>
            <w:r w:rsidRPr="00B75820">
              <w:rPr>
                <w:rFonts w:hint="cs"/>
                <w:rtl/>
              </w:rPr>
              <w:t>לשם חקיקתה</w:t>
            </w:r>
            <w:r w:rsidRPr="00B75820">
              <w:rPr>
                <w:rtl/>
              </w:rPr>
              <w:t xml:space="preserve"> ופורסמה ב</w:t>
            </w:r>
            <w:r w:rsidRPr="00B75820">
              <w:rPr>
                <w:rFonts w:hint="cs"/>
                <w:rtl/>
              </w:rPr>
              <w:t xml:space="preserve">רשומות </w:t>
            </w:r>
            <w:r w:rsidRPr="00B75820">
              <w:rPr>
                <w:rtl/>
              </w:rPr>
              <w:t>- ללא תלות בתכניה, במשך תוקפה או בטיב יתר ההליכים לחקיקתה.</w:t>
            </w:r>
          </w:p>
          <w:p w14:paraId="49AE552B" w14:textId="77777777" w:rsidR="00613C0C" w:rsidRPr="00B75820" w:rsidRDefault="00613C0C" w:rsidP="00F01698">
            <w:pPr>
              <w:pStyle w:val="TableBlock"/>
              <w:ind w:left="525"/>
              <w:rPr>
                <w:rtl/>
              </w:rPr>
            </w:pPr>
          </w:p>
        </w:tc>
      </w:tr>
      <w:tr w:rsidR="00613C0C" w14:paraId="54A3DBB5" w14:textId="77777777" w:rsidTr="00F01698">
        <w:trPr>
          <w:cantSplit/>
          <w:trHeight w:val="330"/>
        </w:trPr>
        <w:tc>
          <w:tcPr>
            <w:tcW w:w="1843" w:type="dxa"/>
          </w:tcPr>
          <w:p w14:paraId="46A28B06" w14:textId="77777777" w:rsidR="00613C0C" w:rsidRDefault="00613C0C" w:rsidP="00F01698">
            <w:pPr>
              <w:pStyle w:val="TableSideHeading"/>
              <w:keepLines w:val="0"/>
              <w:rPr>
                <w:rtl/>
              </w:rPr>
            </w:pPr>
            <w:r>
              <w:rPr>
                <w:rFonts w:hint="cs"/>
                <w:rtl/>
              </w:rPr>
              <w:t>הוספת סעיף 15ב</w:t>
            </w:r>
          </w:p>
        </w:tc>
        <w:tc>
          <w:tcPr>
            <w:tcW w:w="425" w:type="dxa"/>
          </w:tcPr>
          <w:p w14:paraId="64BC3FC4" w14:textId="77777777" w:rsidR="00613C0C" w:rsidRDefault="00613C0C" w:rsidP="00F01698">
            <w:pPr>
              <w:pStyle w:val="TableText"/>
              <w:keepLines w:val="0"/>
              <w:rPr>
                <w:rtl/>
              </w:rPr>
            </w:pPr>
            <w:r>
              <w:rPr>
                <w:rFonts w:hint="cs"/>
                <w:rtl/>
              </w:rPr>
              <w:t>4.</w:t>
            </w:r>
          </w:p>
        </w:tc>
        <w:tc>
          <w:tcPr>
            <w:tcW w:w="7507" w:type="dxa"/>
          </w:tcPr>
          <w:p w14:paraId="24E73332" w14:textId="77777777" w:rsidR="00613C0C" w:rsidRDefault="00613C0C" w:rsidP="00F01698">
            <w:pPr>
              <w:pStyle w:val="TableBlock"/>
              <w:tabs>
                <w:tab w:val="clear" w:pos="624"/>
                <w:tab w:val="left" w:pos="139"/>
              </w:tabs>
              <w:ind w:left="280"/>
              <w:rPr>
                <w:rtl/>
              </w:rPr>
            </w:pPr>
            <w:r>
              <w:rPr>
                <w:rFonts w:hint="cs"/>
                <w:rtl/>
              </w:rPr>
              <w:t xml:space="preserve">אחרי סעיף 15א לחוק העיקרי יבוא </w:t>
            </w:r>
            <w:r>
              <w:rPr>
                <w:rtl/>
              </w:rPr>
              <w:t>–</w:t>
            </w:r>
            <w:r>
              <w:rPr>
                <w:rFonts w:hint="cs"/>
                <w:rtl/>
              </w:rPr>
              <w:t xml:space="preserve"> </w:t>
            </w:r>
          </w:p>
        </w:tc>
      </w:tr>
      <w:tr w:rsidR="00613C0C" w14:paraId="72F0A50B" w14:textId="77777777" w:rsidTr="00F01698">
        <w:trPr>
          <w:cantSplit/>
          <w:trHeight w:val="330"/>
        </w:trPr>
        <w:tc>
          <w:tcPr>
            <w:tcW w:w="1843" w:type="dxa"/>
          </w:tcPr>
          <w:p w14:paraId="2D3080BA" w14:textId="77777777" w:rsidR="00613C0C" w:rsidRDefault="00613C0C" w:rsidP="00F01698">
            <w:pPr>
              <w:pStyle w:val="TableSideHeading"/>
              <w:keepLines w:val="0"/>
              <w:rPr>
                <w:rtl/>
              </w:rPr>
            </w:pPr>
          </w:p>
        </w:tc>
        <w:tc>
          <w:tcPr>
            <w:tcW w:w="425" w:type="dxa"/>
          </w:tcPr>
          <w:p w14:paraId="38C72E78" w14:textId="77777777" w:rsidR="00613C0C" w:rsidRDefault="00613C0C" w:rsidP="00F01698">
            <w:pPr>
              <w:pStyle w:val="TableText"/>
              <w:keepLines w:val="0"/>
              <w:rPr>
                <w:rtl/>
              </w:rPr>
            </w:pPr>
          </w:p>
        </w:tc>
        <w:tc>
          <w:tcPr>
            <w:tcW w:w="7507" w:type="dxa"/>
          </w:tcPr>
          <w:p w14:paraId="4C4E95B3" w14:textId="77777777" w:rsidR="00613C0C" w:rsidRDefault="00613C0C" w:rsidP="00F01698">
            <w:pPr>
              <w:pStyle w:val="TableBlock"/>
              <w:tabs>
                <w:tab w:val="clear" w:pos="624"/>
              </w:tabs>
              <w:ind w:left="280"/>
              <w:rPr>
                <w:rtl/>
              </w:rPr>
            </w:pPr>
            <w:r>
              <w:rPr>
                <w:rFonts w:hint="cs"/>
                <w:rtl/>
              </w:rPr>
              <w:t>"15ב. ביטול עילת חוסר הסבירות</w:t>
            </w:r>
          </w:p>
          <w:p w14:paraId="7DD1C146" w14:textId="77777777" w:rsidR="00613C0C" w:rsidRDefault="00613C0C" w:rsidP="00F01698">
            <w:pPr>
              <w:pStyle w:val="TableBlock"/>
              <w:tabs>
                <w:tab w:val="clear" w:pos="624"/>
              </w:tabs>
              <w:ind w:left="280"/>
              <w:rPr>
                <w:rtl/>
              </w:rPr>
            </w:pPr>
            <w:r w:rsidRPr="00B75820">
              <w:rPr>
                <w:rtl/>
              </w:rPr>
              <w:t>ביקורת סבירות שיקול הדעת של הממשלה</w:t>
            </w:r>
            <w:r w:rsidRPr="00B75820">
              <w:rPr>
                <w:rFonts w:hint="cs"/>
                <w:rtl/>
              </w:rPr>
              <w:t xml:space="preserve">, </w:t>
            </w:r>
            <w:r w:rsidRPr="00B75820">
              <w:rPr>
                <w:rtl/>
              </w:rPr>
              <w:t>שריה</w:t>
            </w:r>
            <w:r w:rsidRPr="00B75820">
              <w:rPr>
                <w:rFonts w:hint="cs"/>
                <w:rtl/>
              </w:rPr>
              <w:t xml:space="preserve"> והרשויות הכפופות לה</w:t>
            </w:r>
            <w:r w:rsidRPr="00B75820">
              <w:rPr>
                <w:rtl/>
              </w:rPr>
              <w:t xml:space="preserve"> נתונה בידי הכנסת; </w:t>
            </w:r>
            <w:r w:rsidRPr="00B75820">
              <w:rPr>
                <w:rFonts w:hint="cs"/>
                <w:rtl/>
              </w:rPr>
              <w:t>לא יפסול בית משפט, לרבות בית המשפט העליון בשבתו כבית משפט גבוה לצדק, החלטה של הממשלה, שר משריה, רשות הנתונה לאחריותם</w:t>
            </w:r>
            <w:r w:rsidRPr="00B75820">
              <w:rPr>
                <w:rtl/>
              </w:rPr>
              <w:t xml:space="preserve"> </w:t>
            </w:r>
            <w:r w:rsidRPr="00B75820">
              <w:rPr>
                <w:rFonts w:hint="cs"/>
                <w:rtl/>
              </w:rPr>
              <w:t>או כל מי שפועל מטעמם על יסוד מידת סבירותה, תהא אשר תהא</w:t>
            </w:r>
            <w:r>
              <w:rPr>
                <w:rFonts w:hint="cs"/>
                <w:rtl/>
              </w:rPr>
              <w:t xml:space="preserve"> לטעמו</w:t>
            </w:r>
            <w:r w:rsidRPr="00B75820">
              <w:rPr>
                <w:rFonts w:hint="cs"/>
                <w:rtl/>
              </w:rPr>
              <w:t>; פסילת החלטה בסעיף זה - פסילה מלאה, חלקית או הגבלת תוקף של החלטה, לרבות החלטה על מינויו של אדם, או של הימנעות מקבלת החלטה כאמור.</w:t>
            </w:r>
            <w:r>
              <w:rPr>
                <w:rFonts w:hint="cs"/>
                <w:rtl/>
              </w:rPr>
              <w:t>"</w:t>
            </w:r>
          </w:p>
        </w:tc>
      </w:tr>
      <w:tr w:rsidR="00613C0C" w14:paraId="286DB58B" w14:textId="77777777" w:rsidTr="00F01698">
        <w:trPr>
          <w:cantSplit/>
          <w:trHeight w:val="330"/>
        </w:trPr>
        <w:tc>
          <w:tcPr>
            <w:tcW w:w="1843" w:type="dxa"/>
          </w:tcPr>
          <w:p w14:paraId="14F898B3" w14:textId="77777777" w:rsidR="00613C0C" w:rsidRDefault="00613C0C" w:rsidP="00F01698">
            <w:pPr>
              <w:pStyle w:val="TableSideHeading"/>
              <w:keepLines w:val="0"/>
              <w:rPr>
                <w:rtl/>
              </w:rPr>
            </w:pPr>
            <w:r>
              <w:rPr>
                <w:rFonts w:hint="cs"/>
                <w:rtl/>
              </w:rPr>
              <w:t>הוראת מעבר</w:t>
            </w:r>
          </w:p>
        </w:tc>
        <w:tc>
          <w:tcPr>
            <w:tcW w:w="425" w:type="dxa"/>
          </w:tcPr>
          <w:p w14:paraId="2006CEB1" w14:textId="77777777" w:rsidR="00613C0C" w:rsidRDefault="00613C0C" w:rsidP="00F01698">
            <w:pPr>
              <w:pStyle w:val="TableText"/>
              <w:keepLines w:val="0"/>
              <w:rPr>
                <w:rtl/>
              </w:rPr>
            </w:pPr>
            <w:r>
              <w:rPr>
                <w:rFonts w:hint="cs"/>
                <w:rtl/>
              </w:rPr>
              <w:t>5.</w:t>
            </w:r>
          </w:p>
        </w:tc>
        <w:tc>
          <w:tcPr>
            <w:tcW w:w="7507" w:type="dxa"/>
          </w:tcPr>
          <w:p w14:paraId="4034109A" w14:textId="77777777" w:rsidR="00613C0C" w:rsidRDefault="00613C0C" w:rsidP="00F01698">
            <w:pPr>
              <w:pStyle w:val="TableBlock"/>
              <w:tabs>
                <w:tab w:val="clear" w:pos="624"/>
              </w:tabs>
              <w:ind w:left="280"/>
              <w:rPr>
                <w:rtl/>
              </w:rPr>
            </w:pPr>
            <w:r>
              <w:rPr>
                <w:rFonts w:hint="cs"/>
                <w:rtl/>
              </w:rPr>
              <w:t>וועדה לבחירת שופטים כאמור בסעיף 4 לחוק יסוד: השפיטה תתמנה לפי הסעיף כאמור בתוך 30 יום מיום תחילתו של חוק יסוד זה.</w:t>
            </w:r>
          </w:p>
        </w:tc>
      </w:tr>
    </w:tbl>
    <w:p w14:paraId="13DA67EC" w14:textId="77777777" w:rsidR="00613C0C" w:rsidRPr="00373139" w:rsidRDefault="00613C0C" w:rsidP="00613C0C">
      <w:pPr>
        <w:jc w:val="center"/>
      </w:pPr>
    </w:p>
    <w:p w14:paraId="3CD174B8" w14:textId="77777777" w:rsidR="00C84817" w:rsidRPr="00613C0C" w:rsidRDefault="00000000"/>
    <w:sectPr w:rsidR="00C84817" w:rsidRPr="00613C0C" w:rsidSect="00247EC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39A8" w14:textId="77777777" w:rsidR="00703000" w:rsidRDefault="00703000" w:rsidP="00613C0C">
      <w:pPr>
        <w:spacing w:line="240" w:lineRule="auto"/>
      </w:pPr>
      <w:r>
        <w:separator/>
      </w:r>
    </w:p>
  </w:endnote>
  <w:endnote w:type="continuationSeparator" w:id="0">
    <w:p w14:paraId="6C34C610" w14:textId="77777777" w:rsidR="00703000" w:rsidRDefault="00703000" w:rsidP="00613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71E6" w14:textId="77777777" w:rsidR="009C7D11" w:rsidRDefault="000966F2" w:rsidP="00FF669C">
    <w:pPr>
      <w:pStyle w:val="ac"/>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749D36D4" w14:textId="77777777" w:rsidR="009C7D11" w:rsidRDefault="0000000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D50F" w14:textId="77777777" w:rsidR="009C7D11" w:rsidRDefault="000966F2" w:rsidP="00FF669C">
    <w:pPr>
      <w:pStyle w:val="ac"/>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F11BE1">
      <w:rPr>
        <w:rStyle w:val="a5"/>
        <w:noProof/>
        <w:rtl/>
      </w:rPr>
      <w:t>10</w:t>
    </w:r>
    <w:r>
      <w:rPr>
        <w:rStyle w:val="a5"/>
        <w:rtl/>
      </w:rPr>
      <w:fldChar w:fldCharType="end"/>
    </w:r>
  </w:p>
  <w:p w14:paraId="4ADE5041" w14:textId="77777777" w:rsidR="009C7D11" w:rsidRDefault="00000000">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F51C" w14:textId="77777777" w:rsidR="00DF00C4" w:rsidRDefault="000000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1FBE" w14:textId="77777777" w:rsidR="00703000" w:rsidRDefault="00703000" w:rsidP="00613C0C">
      <w:pPr>
        <w:spacing w:line="240" w:lineRule="auto"/>
      </w:pPr>
      <w:r>
        <w:separator/>
      </w:r>
    </w:p>
  </w:footnote>
  <w:footnote w:type="continuationSeparator" w:id="0">
    <w:p w14:paraId="000C49EC" w14:textId="77777777" w:rsidR="00703000" w:rsidRDefault="00703000" w:rsidP="00613C0C">
      <w:pPr>
        <w:spacing w:line="240" w:lineRule="auto"/>
      </w:pPr>
      <w:r>
        <w:continuationSeparator/>
      </w:r>
    </w:p>
  </w:footnote>
  <w:footnote w:id="1">
    <w:p w14:paraId="514A8861" w14:textId="77777777" w:rsidR="00613C0C" w:rsidRPr="008445FB" w:rsidRDefault="00613C0C" w:rsidP="00613C0C">
      <w:pPr>
        <w:pStyle w:val="a9"/>
        <w:rPr>
          <w:rtl/>
        </w:rPr>
      </w:pPr>
      <w:r w:rsidRPr="008445FB">
        <w:rPr>
          <w:rStyle w:val="ab"/>
        </w:rPr>
        <w:footnoteRef/>
      </w:r>
      <w:r w:rsidRPr="008445FB">
        <w:rPr>
          <w:rtl/>
        </w:rPr>
        <w:t xml:space="preserve"> </w:t>
      </w:r>
      <w:r w:rsidRPr="008445FB">
        <w:rPr>
          <w:rFonts w:hint="cs"/>
          <w:rtl/>
        </w:rPr>
        <w:t>ס</w:t>
      </w:r>
      <w:r w:rsidRPr="008445FB">
        <w:rPr>
          <w:rtl/>
        </w:rPr>
        <w:t>"</w:t>
      </w:r>
      <w:r w:rsidRPr="008445FB">
        <w:rPr>
          <w:rFonts w:hint="cs"/>
          <w:rtl/>
        </w:rPr>
        <w:t>ח</w:t>
      </w:r>
      <w:r w:rsidRPr="008445FB">
        <w:rPr>
          <w:rtl/>
        </w:rPr>
        <w:t xml:space="preserve"> </w:t>
      </w:r>
      <w:r w:rsidRPr="008445FB">
        <w:rPr>
          <w:rFonts w:hint="cs"/>
          <w:rtl/>
        </w:rPr>
        <w:t>תשמ</w:t>
      </w:r>
      <w:r w:rsidRPr="008445FB">
        <w:rPr>
          <w:rtl/>
        </w:rPr>
        <w:t>"</w:t>
      </w:r>
      <w:r w:rsidRPr="008445FB">
        <w:rPr>
          <w:rFonts w:hint="cs"/>
          <w:rtl/>
        </w:rPr>
        <w:t>ד</w:t>
      </w:r>
      <w:r w:rsidRPr="008445FB">
        <w:rPr>
          <w:rtl/>
        </w:rPr>
        <w:t xml:space="preserve"> </w:t>
      </w:r>
      <w:r w:rsidRPr="008445FB">
        <w:rPr>
          <w:rFonts w:hint="cs"/>
          <w:rtl/>
        </w:rPr>
        <w:t>עמ' 78</w:t>
      </w:r>
    </w:p>
  </w:footnote>
  <w:footnote w:id="2">
    <w:p w14:paraId="335EE41B" w14:textId="77777777" w:rsidR="00613C0C" w:rsidRDefault="00613C0C" w:rsidP="00613C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0EA3" w14:textId="77777777" w:rsidR="009C7D11" w:rsidRDefault="000966F2">
    <w:pPr>
      <w:pStyle w:val="a3"/>
      <w:framePr w:wrap="around" w:vAnchor="text" w:hAnchor="margin" w:xAlign="center" w:y="1"/>
      <w:rPr>
        <w:rStyle w:val="a5"/>
        <w:rtl/>
      </w:rPr>
    </w:pPr>
    <w:r>
      <w:rPr>
        <w:rStyle w:val="a5"/>
      </w:rPr>
      <w:fldChar w:fldCharType="begin"/>
    </w:r>
    <w:r>
      <w:rPr>
        <w:rStyle w:val="a5"/>
      </w:rPr>
      <w:instrText xml:space="preserve">PAGE  </w:instrText>
    </w:r>
    <w:r>
      <w:rPr>
        <w:rStyle w:val="a5"/>
      </w:rPr>
      <w:fldChar w:fldCharType="end"/>
    </w:r>
  </w:p>
  <w:p w14:paraId="75922ED2" w14:textId="77777777" w:rsidR="009C7D11" w:rsidRDefault="00000000">
    <w:pPr>
      <w:pStyle w:val="a3"/>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BC67" w14:textId="77777777" w:rsidR="009C7D11" w:rsidRDefault="00000000">
    <w:pPr>
      <w:pStyle w:val="a3"/>
      <w:framePr w:wrap="around" w:vAnchor="text" w:hAnchor="margin" w:xAlign="center" w:y="1"/>
      <w:rPr>
        <w:rStyle w:val="a5"/>
        <w:rtl/>
      </w:rPr>
    </w:pPr>
    <w:r>
      <w:rPr>
        <w:rStyle w:val="a5"/>
        <w:rtl/>
      </w:rPr>
      <w:pict w14:anchorId="279319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86273" o:spid="_x0000_s1025" type="#_x0000_t136" style="position:absolute;left:0;text-align:left;margin-left:0;margin-top:0;width:365.95pt;height:219.55pt;rotation:315;z-index:-251658752;mso-wrap-edited:f;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r w:rsidR="000966F2">
      <w:rPr>
        <w:rStyle w:val="a5"/>
      </w:rPr>
      <w:fldChar w:fldCharType="begin"/>
    </w:r>
    <w:r w:rsidR="000966F2">
      <w:rPr>
        <w:rStyle w:val="a5"/>
      </w:rPr>
      <w:instrText xml:space="preserve">PAGE  </w:instrText>
    </w:r>
    <w:r w:rsidR="000966F2">
      <w:rPr>
        <w:rStyle w:val="a5"/>
      </w:rPr>
      <w:fldChar w:fldCharType="separate"/>
    </w:r>
    <w:r w:rsidR="00F11BE1">
      <w:rPr>
        <w:rStyle w:val="a5"/>
        <w:noProof/>
        <w:rtl/>
      </w:rPr>
      <w:t>10</w:t>
    </w:r>
    <w:r w:rsidR="000966F2">
      <w:rPr>
        <w:rStyle w:val="a5"/>
      </w:rPr>
      <w:fldChar w:fldCharType="end"/>
    </w:r>
  </w:p>
  <w:p w14:paraId="625B8FA3" w14:textId="77777777" w:rsidR="009C7D11" w:rsidRDefault="00000000">
    <w:pPr>
      <w:pStyle w:val="a3"/>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2650" w14:textId="77777777" w:rsidR="00DF00C4"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94523"/>
    <w:multiLevelType w:val="hybridMultilevel"/>
    <w:tmpl w:val="86329606"/>
    <w:lvl w:ilvl="0" w:tplc="FFFC17DA">
      <w:start w:val="1"/>
      <w:numFmt w:val="decimal"/>
      <w:lvlText w:val="(%1)"/>
      <w:lvlJc w:val="left"/>
      <w:pPr>
        <w:ind w:left="720" w:hanging="360"/>
      </w:pPr>
      <w:rPr>
        <w:rFonts w:ascii="Times New Roman" w:eastAsia="Times New Roman" w:hAnsi="Times New Roman" w:cs="FrankRueh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66FA3"/>
    <w:multiLevelType w:val="hybridMultilevel"/>
    <w:tmpl w:val="68FE77B8"/>
    <w:lvl w:ilvl="0" w:tplc="E176F31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6AC55BBD"/>
    <w:multiLevelType w:val="hybridMultilevel"/>
    <w:tmpl w:val="47CA7238"/>
    <w:lvl w:ilvl="0" w:tplc="4EBE3D92">
      <w:start w:val="1"/>
      <w:numFmt w:val="hebrew1"/>
      <w:lvlText w:val="(%1)"/>
      <w:lvlJc w:val="left"/>
      <w:pPr>
        <w:ind w:left="525" w:hanging="384"/>
      </w:pPr>
      <w:rPr>
        <w:rFonts w:hint="default"/>
      </w:rPr>
    </w:lvl>
    <w:lvl w:ilvl="1" w:tplc="693E1086">
      <w:start w:val="1"/>
      <w:numFmt w:val="decimal"/>
      <w:lvlText w:val="(%2)"/>
      <w:lvlJc w:val="left"/>
      <w:pPr>
        <w:ind w:left="1349" w:hanging="360"/>
      </w:pPr>
      <w:rPr>
        <w:rFonts w:ascii="David" w:eastAsia="Times New Roman" w:hAnsi="David" w:cs="David" w:hint="default"/>
      </w:r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16cid:durableId="944194354">
    <w:abstractNumId w:val="1"/>
  </w:num>
  <w:num w:numId="2" w16cid:durableId="677850081">
    <w:abstractNumId w:val="0"/>
  </w:num>
  <w:num w:numId="3" w16cid:durableId="989597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8EA"/>
    <w:rsid w:val="000966F2"/>
    <w:rsid w:val="0029475B"/>
    <w:rsid w:val="00613C0C"/>
    <w:rsid w:val="00703000"/>
    <w:rsid w:val="00742E8D"/>
    <w:rsid w:val="007800EA"/>
    <w:rsid w:val="00855373"/>
    <w:rsid w:val="00A34959"/>
    <w:rsid w:val="00AF2404"/>
    <w:rsid w:val="00D16C18"/>
    <w:rsid w:val="00F11BE1"/>
    <w:rsid w:val="00F358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A7B46"/>
  <w15:chartTrackingRefBased/>
  <w15:docId w15:val="{9D80D380-6A06-4F8D-BA83-4E649574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C0C"/>
    <w:pPr>
      <w:bidi/>
      <w:spacing w:after="0" w:line="360" w:lineRule="auto"/>
      <w:jc w:val="both"/>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3C0C"/>
    <w:pPr>
      <w:tabs>
        <w:tab w:val="center" w:pos="4153"/>
        <w:tab w:val="right" w:pos="8306"/>
      </w:tabs>
    </w:pPr>
  </w:style>
  <w:style w:type="character" w:customStyle="1" w:styleId="a4">
    <w:name w:val="כותרת עליונה תו"/>
    <w:basedOn w:val="a0"/>
    <w:link w:val="a3"/>
    <w:rsid w:val="00613C0C"/>
    <w:rPr>
      <w:rFonts w:ascii="Times New Roman" w:eastAsia="Times New Roman" w:hAnsi="Times New Roman" w:cs="David"/>
      <w:sz w:val="24"/>
      <w:szCs w:val="24"/>
    </w:rPr>
  </w:style>
  <w:style w:type="character" w:styleId="a5">
    <w:name w:val="page number"/>
    <w:rsid w:val="00613C0C"/>
    <w:rPr>
      <w:rFonts w:cs="Times New Roman"/>
    </w:rPr>
  </w:style>
  <w:style w:type="character" w:styleId="a6">
    <w:name w:val="annotation reference"/>
    <w:semiHidden/>
    <w:rsid w:val="00613C0C"/>
    <w:rPr>
      <w:rFonts w:cs="Times New Roman"/>
      <w:sz w:val="16"/>
      <w:szCs w:val="16"/>
    </w:rPr>
  </w:style>
  <w:style w:type="paragraph" w:styleId="a7">
    <w:name w:val="annotation text"/>
    <w:basedOn w:val="a"/>
    <w:link w:val="a8"/>
    <w:semiHidden/>
    <w:rsid w:val="00613C0C"/>
    <w:rPr>
      <w:sz w:val="20"/>
      <w:szCs w:val="20"/>
    </w:rPr>
  </w:style>
  <w:style w:type="character" w:customStyle="1" w:styleId="a8">
    <w:name w:val="טקסט הערה תו"/>
    <w:basedOn w:val="a0"/>
    <w:link w:val="a7"/>
    <w:semiHidden/>
    <w:rsid w:val="00613C0C"/>
    <w:rPr>
      <w:rFonts w:ascii="Times New Roman" w:eastAsia="Times New Roman" w:hAnsi="Times New Roman" w:cs="David"/>
      <w:sz w:val="20"/>
      <w:szCs w:val="20"/>
    </w:rPr>
  </w:style>
  <w:style w:type="paragraph" w:styleId="a9">
    <w:name w:val="footnote text"/>
    <w:basedOn w:val="a"/>
    <w:link w:val="aa"/>
    <w:uiPriority w:val="99"/>
    <w:semiHidden/>
    <w:rsid w:val="00613C0C"/>
    <w:rPr>
      <w:sz w:val="20"/>
      <w:szCs w:val="20"/>
    </w:rPr>
  </w:style>
  <w:style w:type="character" w:customStyle="1" w:styleId="aa">
    <w:name w:val="טקסט הערת שוליים תו"/>
    <w:basedOn w:val="a0"/>
    <w:link w:val="a9"/>
    <w:uiPriority w:val="99"/>
    <w:semiHidden/>
    <w:rsid w:val="00613C0C"/>
    <w:rPr>
      <w:rFonts w:ascii="Times New Roman" w:eastAsia="Times New Roman" w:hAnsi="Times New Roman" w:cs="David"/>
      <w:sz w:val="20"/>
      <w:szCs w:val="20"/>
    </w:rPr>
  </w:style>
  <w:style w:type="character" w:styleId="ab">
    <w:name w:val="footnote reference"/>
    <w:uiPriority w:val="99"/>
    <w:semiHidden/>
    <w:rsid w:val="00613C0C"/>
    <w:rPr>
      <w:rFonts w:cs="Times New Roman"/>
      <w:vertAlign w:val="superscript"/>
    </w:rPr>
  </w:style>
  <w:style w:type="character" w:customStyle="1" w:styleId="default">
    <w:name w:val="default"/>
    <w:rsid w:val="00613C0C"/>
    <w:rPr>
      <w:rFonts w:ascii="Times New Roman" w:hAnsi="Times New Roman" w:cs="Times New Roman"/>
      <w:sz w:val="26"/>
      <w:szCs w:val="26"/>
    </w:rPr>
  </w:style>
  <w:style w:type="paragraph" w:customStyle="1" w:styleId="HeadHatzaotHok">
    <w:name w:val="Head HatzaotHok"/>
    <w:basedOn w:val="a"/>
    <w:rsid w:val="00613C0C"/>
    <w:pPr>
      <w:keepNext/>
      <w:keepLines/>
      <w:widowControl w:val="0"/>
      <w:autoSpaceDE w:val="0"/>
      <w:autoSpaceDN w:val="0"/>
      <w:adjustRightInd w:val="0"/>
      <w:snapToGrid w:val="0"/>
      <w:spacing w:before="240"/>
      <w:jc w:val="center"/>
      <w:textAlignment w:val="center"/>
    </w:pPr>
    <w:rPr>
      <w:rFonts w:ascii="Arial" w:eastAsia="Arial Unicode MS" w:hAnsi="Arial"/>
      <w:b/>
      <w:bCs/>
      <w:snapToGrid w:val="0"/>
      <w:color w:val="000000"/>
      <w:sz w:val="20"/>
      <w:szCs w:val="26"/>
      <w:lang w:eastAsia="ja-JP"/>
    </w:rPr>
  </w:style>
  <w:style w:type="paragraph" w:customStyle="1" w:styleId="Hesber">
    <w:name w:val="Hesber"/>
    <w:basedOn w:val="a"/>
    <w:rsid w:val="00613C0C"/>
    <w:pPr>
      <w:widowControl w:val="0"/>
      <w:autoSpaceDE w:val="0"/>
      <w:autoSpaceDN w:val="0"/>
      <w:adjustRightInd w:val="0"/>
      <w:snapToGrid w:val="0"/>
      <w:ind w:firstLine="340"/>
      <w:textAlignment w:val="center"/>
    </w:pPr>
    <w:rPr>
      <w:rFonts w:ascii="Arial" w:eastAsia="Arial Unicode MS" w:hAnsi="Arial"/>
      <w:snapToGrid w:val="0"/>
      <w:color w:val="000000"/>
      <w:sz w:val="20"/>
      <w:szCs w:val="26"/>
      <w:lang w:eastAsia="ja-JP"/>
    </w:rPr>
  </w:style>
  <w:style w:type="paragraph" w:styleId="ac">
    <w:name w:val="footer"/>
    <w:basedOn w:val="a"/>
    <w:link w:val="ad"/>
    <w:rsid w:val="00613C0C"/>
    <w:pPr>
      <w:tabs>
        <w:tab w:val="center" w:pos="4153"/>
        <w:tab w:val="right" w:pos="8306"/>
      </w:tabs>
    </w:pPr>
  </w:style>
  <w:style w:type="character" w:customStyle="1" w:styleId="ad">
    <w:name w:val="כותרת תחתונה תו"/>
    <w:basedOn w:val="a0"/>
    <w:link w:val="ac"/>
    <w:rsid w:val="00613C0C"/>
    <w:rPr>
      <w:rFonts w:ascii="Times New Roman" w:eastAsia="Times New Roman" w:hAnsi="Times New Roman" w:cs="David"/>
      <w:sz w:val="24"/>
      <w:szCs w:val="24"/>
    </w:rPr>
  </w:style>
  <w:style w:type="paragraph" w:customStyle="1" w:styleId="p00">
    <w:name w:val="p00"/>
    <w:basedOn w:val="a"/>
    <w:rsid w:val="00613C0C"/>
    <w:pPr>
      <w:bidi w:val="0"/>
      <w:spacing w:before="100" w:beforeAutospacing="1" w:after="100" w:afterAutospacing="1" w:line="240" w:lineRule="auto"/>
      <w:jc w:val="left"/>
    </w:pPr>
    <w:rPr>
      <w:rFonts w:cs="Times New Roman"/>
    </w:rPr>
  </w:style>
  <w:style w:type="paragraph" w:customStyle="1" w:styleId="TableText">
    <w:name w:val="Table Text"/>
    <w:basedOn w:val="a"/>
    <w:rsid w:val="00613C0C"/>
    <w:pPr>
      <w:keepLines/>
      <w:widowControl w:val="0"/>
      <w:tabs>
        <w:tab w:val="left" w:pos="624"/>
        <w:tab w:val="left" w:pos="1247"/>
      </w:tabs>
      <w:autoSpaceDE w:val="0"/>
      <w:autoSpaceDN w:val="0"/>
      <w:adjustRightInd w:val="0"/>
      <w:snapToGrid w:val="0"/>
      <w:ind w:right="57"/>
      <w:jc w:val="left"/>
      <w:textAlignment w:val="center"/>
    </w:pPr>
    <w:rPr>
      <w:rFonts w:ascii="Arial" w:eastAsia="Arial Unicode MS" w:hAnsi="Arial"/>
      <w:color w:val="000000"/>
      <w:sz w:val="20"/>
      <w:szCs w:val="26"/>
      <w:lang w:eastAsia="ja-JP"/>
    </w:rPr>
  </w:style>
  <w:style w:type="paragraph" w:customStyle="1" w:styleId="TableSideHeading">
    <w:name w:val="Table SideHeading"/>
    <w:basedOn w:val="TableText"/>
    <w:rsid w:val="00613C0C"/>
  </w:style>
  <w:style w:type="paragraph" w:customStyle="1" w:styleId="TableBlock">
    <w:name w:val="Table Block"/>
    <w:basedOn w:val="TableText"/>
    <w:rsid w:val="00613C0C"/>
    <w:pPr>
      <w:ind w:right="0"/>
      <w:jc w:val="both"/>
    </w:pPr>
  </w:style>
  <w:style w:type="paragraph" w:styleId="ae">
    <w:name w:val="Balloon Text"/>
    <w:basedOn w:val="a"/>
    <w:link w:val="af"/>
    <w:uiPriority w:val="99"/>
    <w:semiHidden/>
    <w:unhideWhenUsed/>
    <w:rsid w:val="00613C0C"/>
    <w:pPr>
      <w:spacing w:line="240" w:lineRule="auto"/>
    </w:pPr>
    <w:rPr>
      <w:rFonts w:ascii="Tahoma" w:hAnsi="Tahoma" w:cs="Tahoma"/>
      <w:sz w:val="18"/>
      <w:szCs w:val="18"/>
    </w:rPr>
  </w:style>
  <w:style w:type="character" w:customStyle="1" w:styleId="af">
    <w:name w:val="טקסט בלונים תו"/>
    <w:basedOn w:val="a0"/>
    <w:link w:val="ae"/>
    <w:uiPriority w:val="99"/>
    <w:semiHidden/>
    <w:rsid w:val="00613C0C"/>
    <w:rPr>
      <w:rFonts w:ascii="Tahoma" w:eastAsia="Times New Roman" w:hAnsi="Tahoma" w:cs="Tahoma"/>
      <w:sz w:val="18"/>
      <w:szCs w:val="18"/>
    </w:rPr>
  </w:style>
  <w:style w:type="paragraph" w:styleId="af0">
    <w:name w:val="Revision"/>
    <w:hidden/>
    <w:uiPriority w:val="99"/>
    <w:semiHidden/>
    <w:rsid w:val="00742E8D"/>
    <w:pPr>
      <w:spacing w:after="0" w:line="240" w:lineRule="auto"/>
    </w:pPr>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2850</Words>
  <Characters>16250</Characters>
  <Application>Microsoft Office Word</Application>
  <DocSecurity>0</DocSecurity>
  <Lines>135</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אביעד בקשי</dc:creator>
  <cp:keywords/>
  <dc:description/>
  <cp:lastModifiedBy>user</cp:lastModifiedBy>
  <cp:revision>2</cp:revision>
  <dcterms:created xsi:type="dcterms:W3CDTF">2023-01-11T16:54:00Z</dcterms:created>
  <dcterms:modified xsi:type="dcterms:W3CDTF">2023-01-11T16:54:00Z</dcterms:modified>
</cp:coreProperties>
</file>